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864C6">
      <w:pPr>
        <w:pStyle w:val="30"/>
        <w:rPr>
          <w:rFonts w:hint="default" w:ascii="Times New Roman" w:hAnsi="Times New Roman" w:eastAsia="宋体"/>
          <w:color w:val="000000"/>
          <w:sz w:val="24"/>
          <w:szCs w:val="24"/>
        </w:rPr>
      </w:pPr>
      <w:bookmarkStart w:id="0" w:name="SectionMark0"/>
      <w:r>
        <w:rPr>
          <w:rFonts w:hint="default" w:ascii="Times New Roman" w:hAnsi="Times New Roman" w:eastAsia="宋体"/>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8890000</wp:posOffset>
                </wp:positionV>
                <wp:extent cx="6121400" cy="0"/>
                <wp:effectExtent l="9525" t="10795" r="12700" b="8255"/>
                <wp:wrapNone/>
                <wp:docPr id="9" name="Line 8"/>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Line 8" o:spid="_x0000_s1026" o:spt="20" style="position:absolute;left:0pt;margin-left:0pt;margin-top:700pt;height:0pt;width:482pt;z-index:251665408;mso-width-relative:page;mso-height-relative:page;" filled="f" stroked="t" coordsize="21600,21600" o:gfxdata="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vSJT9UAAAAKAQAADwAAAAAAAAABACAAAAAiAAAAZHJzL2Rvd25y&#10;ZXYueG1sUEsBAhQAFAAAAAgAh07iQB8MPonIAQAAoAMAAA4AAAAAAAAAAQAgAAAAJAEAAGRycy9l&#10;Mm9Eb2MueG1sUEsFBgAAAAAGAAYAWQEAAF4FAAAAAA==&#10;">
                <v:fill on="f" focussize="0,0"/>
                <v:stroke weight="1pt" color="#080000" joinstyle="round"/>
                <v:imagedata o:title=""/>
                <o:lock v:ext="edit" aspectratio="f"/>
              </v:line>
            </w:pict>
          </mc:Fallback>
        </mc:AlternateContent>
      </w:r>
      <w:r>
        <w:rPr>
          <w:rFonts w:hint="default" w:ascii="Times New Roman" w:hAnsi="Times New Roman" w:eastAsia="宋体"/>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2273300</wp:posOffset>
                </wp:positionV>
                <wp:extent cx="6121400" cy="0"/>
                <wp:effectExtent l="9525" t="13970" r="12700" b="14605"/>
                <wp:wrapNone/>
                <wp:docPr id="8" name="Line 7"/>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Line 7" o:spid="_x0000_s1026" o:spt="20" style="position:absolute;left:0pt;margin-left:0pt;margin-top:179pt;height:0pt;width:482pt;z-index:251664384;mso-width-relative:page;mso-height-relative:page;" filled="f" stroked="t" coordsize="21600,21600" o:gfxdata="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NO54MdYAAAAIAQAADwAAAAAAAAABACAAAAAiAAAAZHJzL2Rvd25y&#10;ZXYueG1sUEsBAhQAFAAAAAgAh07iQCK+GYvHAQAAoAMAAA4AAAAAAAAAAQAgAAAAJQEAAGRycy9l&#10;Mm9Eb2MueG1sUEsFBgAAAAAGAAYAWQEAAF4FAAAAAA==&#10;">
                <v:fill on="f" focussize="0,0"/>
                <v:stroke weight="1pt" color="#080000" joinstyle="round"/>
                <v:imagedata o:title=""/>
                <o:lock v:ext="edit" aspectratio="f"/>
              </v:line>
            </w:pict>
          </mc:Fallback>
        </mc:AlternateContent>
      </w:r>
      <w:r>
        <w:rPr>
          <w:rFonts w:hint="default" w:ascii="Times New Roman" w:hAnsi="Times New Roman" w:eastAsia="宋体"/>
          <w:color w:val="000000"/>
          <w:sz w:val="24"/>
          <w:szCs w:val="24"/>
        </w:rPr>
        <w:t>ICS</w:t>
      </w:r>
    </w:p>
    <w:p w14:paraId="4E4EC1F1">
      <w:pPr>
        <w:pStyle w:val="30"/>
        <w:rPr>
          <w:rFonts w:hint="default" w:ascii="Times New Roman" w:hAnsi="Times New Roman" w:eastAsia="宋体"/>
          <w:color w:val="000000"/>
          <w:sz w:val="24"/>
          <w:szCs w:val="24"/>
        </w:rPr>
      </w:pPr>
      <w:r>
        <w:rPr>
          <w:rFonts w:hint="default" w:ascii="Times New Roman" w:hAnsi="Times New Roman" w:eastAsia="宋体"/>
          <w:color w:val="000000"/>
          <w:sz w:val="24"/>
          <w:szCs w:val="24"/>
        </w:rPr>
        <w:t xml:space="preserve">CCS </w:t>
      </w:r>
    </w:p>
    <w:p w14:paraId="0A02FFA3">
      <w:pPr>
        <w:pStyle w:val="30"/>
        <w:rPr>
          <w:rFonts w:hint="default" w:ascii="Times New Roman" w:hAnsi="Times New Roman" w:eastAsia="宋体" w:cs="Times New Roman"/>
          <w:color w:val="000000"/>
          <w:sz w:val="44"/>
          <w:szCs w:val="44"/>
        </w:rPr>
        <w:sectPr>
          <w:headerReference r:id="rId5" w:type="first"/>
          <w:headerReference r:id="rId3" w:type="default"/>
          <w:footerReference r:id="rId6" w:type="default"/>
          <w:headerReference r:id="rId4" w:type="even"/>
          <w:footerReference r:id="rId7" w:type="even"/>
          <w:pgSz w:w="11907" w:h="16839"/>
          <w:pgMar w:top="567" w:right="1092" w:bottom="1361" w:left="1155" w:header="0" w:footer="0" w:gutter="0"/>
          <w:pgNumType w:start="1"/>
          <w:cols w:space="425" w:num="1"/>
          <w:titlePg/>
          <w:docGrid w:type="lines" w:linePitch="312" w:charSpace="0"/>
        </w:sectPr>
      </w:pPr>
      <w:r>
        <w:rPr>
          <w:rFonts w:hint="default" w:ascii="Times New Roman" w:hAnsi="Times New Roman" w:eastAsia="宋体"/>
          <w:color w:val="000000"/>
          <w:sz w:val="44"/>
          <w:szCs w:val="44"/>
        </w:rPr>
        <mc:AlternateContent>
          <mc:Choice Requires="wps">
            <w:drawing>
              <wp:anchor distT="0" distB="0" distL="114300" distR="114300" simplePos="0" relativeHeight="251667456" behindDoc="0" locked="1" layoutInCell="1" allowOverlap="1">
                <wp:simplePos x="0" y="0"/>
                <wp:positionH relativeFrom="margin">
                  <wp:posOffset>-33020</wp:posOffset>
                </wp:positionH>
                <wp:positionV relativeFrom="margin">
                  <wp:posOffset>8960485</wp:posOffset>
                </wp:positionV>
                <wp:extent cx="6120130" cy="363220"/>
                <wp:effectExtent l="0" t="0" r="0" b="3175"/>
                <wp:wrapNone/>
                <wp:docPr id="7"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12B512EA">
                            <w:pPr>
                              <w:pStyle w:val="23"/>
                              <w:rPr>
                                <w:rFonts w:ascii="黑体" w:hAnsi="黑体" w:eastAsia="黑体" w:cs="黑体"/>
                                <w:b w:val="0"/>
                                <w:bCs/>
                                <w:color w:val="FF0000"/>
                                <w:spacing w:val="0"/>
                                <w:sz w:val="32"/>
                                <w:szCs w:val="32"/>
                              </w:rPr>
                            </w:pPr>
                            <w:r>
                              <w:rPr>
                                <w:rFonts w:hint="eastAsia" w:ascii="黑体" w:hAnsi="黑体" w:eastAsia="黑体" w:cs="黑体"/>
                                <w:b w:val="0"/>
                                <w:bCs/>
                                <w:spacing w:val="0"/>
                                <w:w w:val="100"/>
                                <w:sz w:val="32"/>
                                <w:szCs w:val="32"/>
                              </w:rPr>
                              <w:t>中国食品科学技术学会</w:t>
                            </w:r>
                            <w:r>
                              <w:rPr>
                                <w:rFonts w:hint="eastAsia" w:ascii="黑体" w:hAnsi="黑体" w:eastAsia="黑体" w:cs="黑体"/>
                                <w:b w:val="0"/>
                                <w:bCs/>
                                <w:spacing w:val="0"/>
                                <w:sz w:val="32"/>
                                <w:szCs w:val="32"/>
                              </w:rPr>
                              <w:t xml:space="preserve"> </w:t>
                            </w:r>
                            <w:r>
                              <w:rPr>
                                <w:rFonts w:hint="eastAsia" w:ascii="黑体" w:hAnsi="黑体" w:eastAsia="黑体" w:cs="黑体"/>
                                <w:b w:val="0"/>
                                <w:bCs/>
                                <w:spacing w:val="0"/>
                                <w:w w:val="100"/>
                                <w:sz w:val="32"/>
                                <w:szCs w:val="32"/>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2.6pt;margin-top:705.55pt;height:28.6pt;width:481.9pt;mso-position-horizontal-relative:margin;mso-position-vertical-relative:margin;z-index:251667456;mso-width-relative:page;mso-height-relative:page;" fillcolor="#FFFFFF" filled="t" stroked="f" coordsize="21600,21600" o:gfxdata="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pc3wNoAAAAMAQAADwAAAAAAAAAB&#10;ACAAAAAiAAAAZHJzL2Rvd25yZXYueG1sUEsBAhQAFAAAAAgAh07iQHW1EvEOAgAAKwQAAA4AAAAA&#10;AAAAAQAgAAAAKQEAAGRycy9lMm9Eb2MueG1sUEsFBgAAAAAGAAYAWQEAAKkFAAAAAA==&#10;">
                <v:fill on="t" focussize="0,0"/>
                <v:stroke on="f"/>
                <v:imagedata o:title=""/>
                <o:lock v:ext="edit" aspectratio="f"/>
                <v:textbox inset="0mm,0mm,0mm,0mm">
                  <w:txbxContent>
                    <w:p w14:paraId="12B512EA">
                      <w:pPr>
                        <w:pStyle w:val="23"/>
                        <w:rPr>
                          <w:rFonts w:ascii="黑体" w:hAnsi="黑体" w:eastAsia="黑体" w:cs="黑体"/>
                          <w:b w:val="0"/>
                          <w:bCs/>
                          <w:color w:val="FF0000"/>
                          <w:spacing w:val="0"/>
                          <w:sz w:val="32"/>
                          <w:szCs w:val="32"/>
                        </w:rPr>
                      </w:pPr>
                      <w:r>
                        <w:rPr>
                          <w:rFonts w:hint="eastAsia" w:ascii="黑体" w:hAnsi="黑体" w:eastAsia="黑体" w:cs="黑体"/>
                          <w:b w:val="0"/>
                          <w:bCs/>
                          <w:spacing w:val="0"/>
                          <w:w w:val="100"/>
                          <w:sz w:val="32"/>
                          <w:szCs w:val="32"/>
                        </w:rPr>
                        <w:t>中国食品科学技术学会</w:t>
                      </w:r>
                      <w:r>
                        <w:rPr>
                          <w:rFonts w:hint="eastAsia" w:ascii="黑体" w:hAnsi="黑体" w:eastAsia="黑体" w:cs="黑体"/>
                          <w:b w:val="0"/>
                          <w:bCs/>
                          <w:spacing w:val="0"/>
                          <w:sz w:val="32"/>
                          <w:szCs w:val="32"/>
                        </w:rPr>
                        <w:t xml:space="preserve"> </w:t>
                      </w:r>
                      <w:r>
                        <w:rPr>
                          <w:rFonts w:hint="eastAsia" w:ascii="黑体" w:hAnsi="黑体" w:eastAsia="黑体" w:cs="黑体"/>
                          <w:b w:val="0"/>
                          <w:bCs/>
                          <w:spacing w:val="0"/>
                          <w:w w:val="100"/>
                          <w:sz w:val="32"/>
                          <w:szCs w:val="32"/>
                        </w:rPr>
                        <w:t>发布</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6432" behindDoc="0" locked="1" layoutInCell="1" allowOverlap="1">
                <wp:simplePos x="0" y="0"/>
                <wp:positionH relativeFrom="margin">
                  <wp:posOffset>-66675</wp:posOffset>
                </wp:positionH>
                <wp:positionV relativeFrom="margin">
                  <wp:posOffset>990600</wp:posOffset>
                </wp:positionV>
                <wp:extent cx="6120130" cy="915035"/>
                <wp:effectExtent l="0" t="0" r="13970" b="18415"/>
                <wp:wrapNone/>
                <wp:docPr id="6"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915035"/>
                        </a:xfrm>
                        <a:prstGeom prst="rect">
                          <a:avLst/>
                        </a:prstGeom>
                        <a:solidFill>
                          <a:srgbClr val="FFFFFF"/>
                        </a:solidFill>
                        <a:ln>
                          <a:noFill/>
                        </a:ln>
                      </wps:spPr>
                      <wps:txbx>
                        <w:txbxContent>
                          <w:p w14:paraId="5F431A00">
                            <w:pPr>
                              <w:pStyle w:val="12"/>
                              <w:jc w:val="center"/>
                              <w:rPr>
                                <w:rFonts w:ascii="黑体" w:hAnsi="黑体" w:eastAsia="黑体" w:cs="黑体"/>
                                <w:b w:val="0"/>
                                <w:bCs w:val="0"/>
                                <w:spacing w:val="0"/>
                                <w:w w:val="100"/>
                                <w:sz w:val="96"/>
                                <w:szCs w:val="96"/>
                              </w:rPr>
                            </w:pPr>
                            <w:r>
                              <w:rPr>
                                <w:rFonts w:hint="eastAsia" w:ascii="黑体" w:hAnsi="黑体" w:eastAsia="黑体" w:cs="黑体"/>
                                <w:b w:val="0"/>
                                <w:bCs w:val="0"/>
                                <w:spacing w:val="0"/>
                                <w:w w:val="100"/>
                                <w:sz w:val="96"/>
                                <w:szCs w:val="96"/>
                              </w:rPr>
                              <w:t>团  体  标  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5.25pt;margin-top:78pt;height:72.05pt;width:481.9pt;mso-position-horizontal-relative:margin;mso-position-vertical-relative:margin;z-index:251666432;mso-width-relative:page;mso-height-relative:page;" fillcolor="#FFFFFF" filled="t" stroked="f" coordsize="21600,21600" o:gfxdata="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Cp4VKNkAAAALAQAADwAAAAAAAAAB&#10;ACAAAAAiAAAAZHJzL2Rvd25yZXYueG1sUEsBAhQAFAAAAAgAh07iQFJDGDgPAgAAKwQAAA4AAAAA&#10;AAAAAQAgAAAAKAEAAGRycy9lMm9Eb2MueG1sUEsFBgAAAAAGAAYAWQEAAKkFAAAAAA==&#10;">
                <v:fill on="t" focussize="0,0"/>
                <v:stroke on="f"/>
                <v:imagedata o:title=""/>
                <o:lock v:ext="edit" aspectratio="f"/>
                <v:textbox inset="0mm,0mm,0mm,0mm">
                  <w:txbxContent>
                    <w:p w14:paraId="5F431A00">
                      <w:pPr>
                        <w:pStyle w:val="12"/>
                        <w:jc w:val="center"/>
                        <w:rPr>
                          <w:rFonts w:ascii="黑体" w:hAnsi="黑体" w:eastAsia="黑体" w:cs="黑体"/>
                          <w:b w:val="0"/>
                          <w:bCs w:val="0"/>
                          <w:spacing w:val="0"/>
                          <w:w w:val="100"/>
                          <w:sz w:val="96"/>
                          <w:szCs w:val="96"/>
                        </w:rPr>
                      </w:pPr>
                      <w:r>
                        <w:rPr>
                          <w:rFonts w:hint="eastAsia" w:ascii="黑体" w:hAnsi="黑体" w:eastAsia="黑体" w:cs="黑体"/>
                          <w:b w:val="0"/>
                          <w:bCs w:val="0"/>
                          <w:spacing w:val="0"/>
                          <w:w w:val="100"/>
                          <w:sz w:val="96"/>
                          <w:szCs w:val="96"/>
                        </w:rPr>
                        <w:t>团  体  标  准</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3360" behindDoc="0" locked="1" layoutInCell="1" allowOverlap="1">
                <wp:simplePos x="0" y="0"/>
                <wp:positionH relativeFrom="margin">
                  <wp:posOffset>4108450</wp:posOffset>
                </wp:positionH>
                <wp:positionV relativeFrom="margin">
                  <wp:posOffset>8667115</wp:posOffset>
                </wp:positionV>
                <wp:extent cx="2019300" cy="312420"/>
                <wp:effectExtent l="0" t="0" r="4445" b="3175"/>
                <wp:wrapNone/>
                <wp:docPr id="5"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7253848">
                            <w:pPr>
                              <w:pStyle w:val="33"/>
                              <w:rPr>
                                <w:sz w:val="24"/>
                                <w:szCs w:val="18"/>
                              </w:rPr>
                            </w:pPr>
                            <w:r>
                              <w:rPr>
                                <w:sz w:val="24"/>
                                <w:szCs w:val="18"/>
                              </w:rPr>
                              <w:t>20XX-XX-XX实施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23.5pt;margin-top:682.45pt;height:24.6pt;width:159pt;mso-position-horizontal-relative:margin;mso-position-vertical-relative:margin;z-index:251663360;mso-width-relative:page;mso-height-relative:page;" fillcolor="#FFFFFF" filled="t" stroked="f" coordsize="21600,21600" o:gfxdata="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s94Xu2QAAAA0BAAAPAAAAAAAAAAEA&#10;IAAAACIAAABkcnMvZG93bnJldi54bWxQSwECFAAUAAAACACHTuJAGOBbIQ4CAAArBAAADgAAAAAA&#10;AAABACAAAAAoAQAAZHJzL2Uyb0RvYy54bWxQSwUGAAAAAAYABgBZAQAAqAUAAAAA&#10;">
                <v:fill on="t" focussize="0,0"/>
                <v:stroke on="f"/>
                <v:imagedata o:title=""/>
                <o:lock v:ext="edit" aspectratio="f"/>
                <v:textbox inset="0mm,0mm,0mm,0mm">
                  <w:txbxContent>
                    <w:p w14:paraId="17253848">
                      <w:pPr>
                        <w:pStyle w:val="33"/>
                        <w:rPr>
                          <w:sz w:val="24"/>
                          <w:szCs w:val="18"/>
                        </w:rPr>
                      </w:pPr>
                      <w:r>
                        <w:rPr>
                          <w:sz w:val="24"/>
                          <w:szCs w:val="18"/>
                        </w:rPr>
                        <w:t>20XX-XX-XX实施</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8651240</wp:posOffset>
                </wp:positionV>
                <wp:extent cx="2019300" cy="312420"/>
                <wp:effectExtent l="0" t="0" r="0" b="3175"/>
                <wp:wrapNone/>
                <wp:docPr id="4"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61DA2AD6">
                            <w:pPr>
                              <w:pStyle w:val="24"/>
                              <w:rPr>
                                <w:sz w:val="24"/>
                                <w:szCs w:val="18"/>
                              </w:rPr>
                            </w:pPr>
                            <w:r>
                              <w:rPr>
                                <w:sz w:val="24"/>
                                <w:szCs w:val="18"/>
                              </w:rPr>
                              <w:t>20</w:t>
                            </w:r>
                            <w:r>
                              <w:rPr>
                                <w:rFonts w:hint="eastAsia"/>
                                <w:sz w:val="24"/>
                                <w:szCs w:val="18"/>
                              </w:rPr>
                              <w:t>XX-XX-XX</w:t>
                            </w:r>
                            <w:r>
                              <w:rPr>
                                <w:sz w:val="24"/>
                                <w:szCs w:val="18"/>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pt;margin-top:681.2pt;height:24.6pt;width:159pt;mso-position-horizontal-relative:margin;mso-position-vertical-relative:margin;z-index:251662336;mso-width-relative:page;mso-height-relative:page;" fillcolor="#FFFFFF" filled="t" stroked="f" coordsize="21600,21600" o:gfxdata="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kV7hnYAAAACgEAAA8AAAAAAAAAAQAg&#10;AAAAIgAAAGRycy9kb3ducmV2LnhtbFBLAQIUABQAAAAIAIdO4kDmAhzmDgIAACsEAAAOAAAAAAAA&#10;AAEAIAAAACcBAABkcnMvZTJvRG9jLnhtbFBLBQYAAAAABgAGAFkBAACnBQAAAAA=&#10;">
                <v:fill on="t" focussize="0,0"/>
                <v:stroke on="f"/>
                <v:imagedata o:title=""/>
                <o:lock v:ext="edit" aspectratio="f"/>
                <v:textbox inset="0mm,0mm,0mm,0mm">
                  <w:txbxContent>
                    <w:p w14:paraId="61DA2AD6">
                      <w:pPr>
                        <w:pStyle w:val="24"/>
                        <w:rPr>
                          <w:sz w:val="24"/>
                          <w:szCs w:val="18"/>
                        </w:rPr>
                      </w:pPr>
                      <w:r>
                        <w:rPr>
                          <w:sz w:val="24"/>
                          <w:szCs w:val="18"/>
                        </w:rPr>
                        <w:t>20</w:t>
                      </w:r>
                      <w:r>
                        <w:rPr>
                          <w:rFonts w:hint="eastAsia"/>
                          <w:sz w:val="24"/>
                          <w:szCs w:val="18"/>
                        </w:rPr>
                        <w:t>XX-XX-XX</w:t>
                      </w:r>
                      <w:r>
                        <w:rPr>
                          <w:sz w:val="24"/>
                          <w:szCs w:val="18"/>
                        </w:rPr>
                        <w:t>发布</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4445" r="3175" b="635"/>
                <wp:wrapNone/>
                <wp:docPr id="3"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61D710F6">
                            <w:pPr>
                              <w:pStyle w:val="26"/>
                            </w:pPr>
                            <w:r>
                              <w:rPr>
                                <w:rFonts w:hint="eastAsia"/>
                              </w:rPr>
                              <w:t>运动营养食品</w:t>
                            </w:r>
                            <w:r>
                              <w:rPr>
                                <w:rFonts w:hint="eastAsia"/>
                                <w:lang w:val="en-US" w:eastAsia="zh-CN"/>
                              </w:rPr>
                              <w:t xml:space="preserve"> </w:t>
                            </w:r>
                            <w:r>
                              <w:rPr>
                                <w:rFonts w:hint="eastAsia"/>
                              </w:rPr>
                              <w:t>运动后恢复类</w:t>
                            </w:r>
                          </w:p>
                          <w:p w14:paraId="12B29A2B">
                            <w:pPr>
                              <w:pStyle w:val="26"/>
                              <w:rPr>
                                <w:rFonts w:ascii="Times New Roman"/>
                                <w:b/>
                                <w:bCs/>
                                <w:color w:val="000000" w:themeColor="text1"/>
                                <w:sz w:val="28"/>
                                <w:szCs w:val="28"/>
                                <w14:textFill>
                                  <w14:solidFill>
                                    <w14:schemeClr w14:val="tx1"/>
                                  </w14:solidFill>
                                </w14:textFill>
                              </w:rPr>
                            </w:pPr>
                            <w:r>
                              <w:rPr>
                                <w:rFonts w:hint="eastAsia" w:ascii="Times New Roman"/>
                                <w:b/>
                                <w:bCs/>
                                <w:color w:val="000000" w:themeColor="text1"/>
                                <w:sz w:val="28"/>
                                <w:szCs w:val="28"/>
                                <w14:textFill>
                                  <w14:solidFill>
                                    <w14:schemeClr w14:val="tx1"/>
                                  </w14:solidFill>
                                </w14:textFill>
                              </w:rPr>
                              <w:t>Sports nutritional food for post-exercise recovery</w:t>
                            </w:r>
                          </w:p>
                          <w:p w14:paraId="68D10D34">
                            <w:pPr>
                              <w:pStyle w:val="26"/>
                            </w:pPr>
                          </w:p>
                          <w:p w14:paraId="36F47CD3">
                            <w:pPr>
                              <w:pStyle w:val="29"/>
                            </w:pPr>
                            <w:r>
                              <w:rPr>
                                <w:rFonts w:hint="eastAsia"/>
                              </w:rPr>
                              <w:t>（</w:t>
                            </w:r>
                            <w:r>
                              <w:rPr>
                                <w:rFonts w:hint="eastAsia"/>
                                <w:lang w:val="en-US" w:eastAsia="zh-CN"/>
                              </w:rPr>
                              <w:t>征求意见稿</w:t>
                            </w:r>
                            <w:r>
                              <w:rPr>
                                <w:rFonts w:hint="eastAsia"/>
                              </w:rPr>
                              <w:t>）</w:t>
                            </w:r>
                          </w:p>
                          <w:p w14:paraId="5C658AEF">
                            <w:pPr>
                              <w:pStyle w:val="28"/>
                            </w:pPr>
                          </w:p>
                          <w:p w14:paraId="3E8FDC53">
                            <w:pPr>
                              <w:pStyle w:val="27"/>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1312;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RXn3HYAAAACQEAAA8AAAAAAAAA&#10;AQAgAAAAIgAAAGRycy9kb3ducmV2LnhtbFBLAQIUABQAAAAIAIdO4kDJ9DWOEQIAACwEAAAOAAAA&#10;AAAAAAEAIAAAACcBAABkcnMvZTJvRG9jLnhtbFBLBQYAAAAABgAGAFkBAACqBQAAAAA=&#10;">
                <v:fill on="t" focussize="0,0"/>
                <v:stroke on="f"/>
                <v:imagedata o:title=""/>
                <o:lock v:ext="edit" aspectratio="f"/>
                <v:textbox inset="0mm,0mm,0mm,0mm">
                  <w:txbxContent>
                    <w:p w14:paraId="61D710F6">
                      <w:pPr>
                        <w:pStyle w:val="26"/>
                      </w:pPr>
                      <w:r>
                        <w:rPr>
                          <w:rFonts w:hint="eastAsia"/>
                        </w:rPr>
                        <w:t>运动营养食品</w:t>
                      </w:r>
                      <w:r>
                        <w:rPr>
                          <w:rFonts w:hint="eastAsia"/>
                          <w:lang w:val="en-US" w:eastAsia="zh-CN"/>
                        </w:rPr>
                        <w:t xml:space="preserve"> </w:t>
                      </w:r>
                      <w:r>
                        <w:rPr>
                          <w:rFonts w:hint="eastAsia"/>
                        </w:rPr>
                        <w:t>运动后恢复类</w:t>
                      </w:r>
                    </w:p>
                    <w:p w14:paraId="12B29A2B">
                      <w:pPr>
                        <w:pStyle w:val="26"/>
                        <w:rPr>
                          <w:rFonts w:ascii="Times New Roman"/>
                          <w:b/>
                          <w:bCs/>
                          <w:color w:val="000000" w:themeColor="text1"/>
                          <w:sz w:val="28"/>
                          <w:szCs w:val="28"/>
                          <w14:textFill>
                            <w14:solidFill>
                              <w14:schemeClr w14:val="tx1"/>
                            </w14:solidFill>
                          </w14:textFill>
                        </w:rPr>
                      </w:pPr>
                      <w:r>
                        <w:rPr>
                          <w:rFonts w:hint="eastAsia" w:ascii="Times New Roman"/>
                          <w:b/>
                          <w:bCs/>
                          <w:color w:val="000000" w:themeColor="text1"/>
                          <w:sz w:val="28"/>
                          <w:szCs w:val="28"/>
                          <w14:textFill>
                            <w14:solidFill>
                              <w14:schemeClr w14:val="tx1"/>
                            </w14:solidFill>
                          </w14:textFill>
                        </w:rPr>
                        <w:t>Sports nutritional food for post-exercise recovery</w:t>
                      </w:r>
                    </w:p>
                    <w:p w14:paraId="68D10D34">
                      <w:pPr>
                        <w:pStyle w:val="26"/>
                      </w:pPr>
                    </w:p>
                    <w:p w14:paraId="36F47CD3">
                      <w:pPr>
                        <w:pStyle w:val="29"/>
                      </w:pPr>
                      <w:r>
                        <w:rPr>
                          <w:rFonts w:hint="eastAsia"/>
                        </w:rPr>
                        <w:t>（</w:t>
                      </w:r>
                      <w:r>
                        <w:rPr>
                          <w:rFonts w:hint="eastAsia"/>
                          <w:lang w:val="en-US" w:eastAsia="zh-CN"/>
                        </w:rPr>
                        <w:t>征求意见稿</w:t>
                      </w:r>
                      <w:r>
                        <w:rPr>
                          <w:rFonts w:hint="eastAsia"/>
                        </w:rPr>
                        <w:t>）</w:t>
                      </w:r>
                    </w:p>
                    <w:p w14:paraId="5C658AEF">
                      <w:pPr>
                        <w:pStyle w:val="28"/>
                      </w:pPr>
                    </w:p>
                    <w:p w14:paraId="3E8FDC53">
                      <w:pPr>
                        <w:pStyle w:val="27"/>
                      </w:pP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1401445</wp:posOffset>
                </wp:positionV>
                <wp:extent cx="5802630" cy="860425"/>
                <wp:effectExtent l="0" t="0" r="0" b="0"/>
                <wp:wrapNone/>
                <wp:docPr id="2"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2B283380">
                            <w:pPr>
                              <w:pStyle w:val="25"/>
                            </w:pPr>
                          </w:p>
                          <w:p w14:paraId="404C854D">
                            <w:pPr>
                              <w:pStyle w:val="25"/>
                              <w:rPr>
                                <w:rFonts w:ascii="Times New Roman"/>
                                <w:sz w:val="28"/>
                                <w:szCs w:val="28"/>
                              </w:rPr>
                            </w:pPr>
                            <w:r>
                              <w:rPr>
                                <w:rFonts w:hint="eastAsia" w:ascii="Times New Roman"/>
                                <w:sz w:val="28"/>
                                <w:szCs w:val="28"/>
                              </w:rPr>
                              <w:t>T/</w:t>
                            </w:r>
                            <w:r>
                              <w:rPr>
                                <w:rFonts w:ascii="Times New Roman"/>
                                <w:sz w:val="28"/>
                                <w:szCs w:val="28"/>
                                <w:lang w:val="fr-FR"/>
                              </w:rPr>
                              <w:t xml:space="preserve">CIFST </w:t>
                            </w:r>
                            <w:r>
                              <w:rPr>
                                <w:rFonts w:hint="eastAsia" w:ascii="Times New Roman"/>
                                <w:sz w:val="28"/>
                                <w:szCs w:val="28"/>
                              </w:rPr>
                              <w:t>XXX—2020</w:t>
                            </w:r>
                          </w:p>
                          <w:p w14:paraId="52A29F9B">
                            <w:pPr>
                              <w:pStyle w:val="25"/>
                              <w:wordWrap w:val="0"/>
                              <w:rPr>
                                <w:rFonts w:ascii="Times New Roman" w:eastAsia="黑体"/>
                                <w:sz w:val="24"/>
                                <w:szCs w:val="22"/>
                              </w:rPr>
                            </w:pPr>
                            <w:r>
                              <w:rPr>
                                <w:rFonts w:ascii="Times New Roman" w:eastAsia="黑体"/>
                                <w:sz w:val="24"/>
                                <w:szCs w:val="22"/>
                              </w:rPr>
                              <w:t>T/CIFST XXX-20XX</w:t>
                            </w:r>
                          </w:p>
                          <w:p w14:paraId="43D1E5D5">
                            <w:pPr>
                              <w:pStyle w:val="25"/>
                              <w:wordWrap w:val="0"/>
                              <w:rPr>
                                <w:rFonts w:ascii="Times New Roman" w:eastAsia="黑体"/>
                                <w:sz w:val="24"/>
                                <w:szCs w:val="22"/>
                              </w:rPr>
                            </w:pPr>
                          </w:p>
                          <w:p w14:paraId="666B0520">
                            <w:pPr>
                              <w:pStyle w:val="25"/>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0288;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BQGk+9gAAAAIAQAADwAAAAAAAAAB&#10;ACAAAAAiAAAAZHJzL2Rvd25yZXYueG1sUEsBAhQAFAAAAAgAh07iQHxyWHwQAgAAKwQAAA4AAAAA&#10;AAAAAQAgAAAAJwEAAGRycy9lMm9Eb2MueG1sUEsFBgAAAAAGAAYAWQEAAKkFAAAAAA==&#10;">
                <v:fill on="t" focussize="0,0"/>
                <v:stroke on="f"/>
                <v:imagedata o:title=""/>
                <o:lock v:ext="edit" aspectratio="f"/>
                <v:textbox inset="0mm,0mm,0mm,0mm">
                  <w:txbxContent>
                    <w:p w14:paraId="2B283380">
                      <w:pPr>
                        <w:pStyle w:val="25"/>
                      </w:pPr>
                    </w:p>
                    <w:p w14:paraId="404C854D">
                      <w:pPr>
                        <w:pStyle w:val="25"/>
                        <w:rPr>
                          <w:rFonts w:ascii="Times New Roman"/>
                          <w:sz w:val="28"/>
                          <w:szCs w:val="28"/>
                        </w:rPr>
                      </w:pPr>
                      <w:r>
                        <w:rPr>
                          <w:rFonts w:hint="eastAsia" w:ascii="Times New Roman"/>
                          <w:sz w:val="28"/>
                          <w:szCs w:val="28"/>
                        </w:rPr>
                        <w:t>T/</w:t>
                      </w:r>
                      <w:r>
                        <w:rPr>
                          <w:rFonts w:ascii="Times New Roman"/>
                          <w:sz w:val="28"/>
                          <w:szCs w:val="28"/>
                          <w:lang w:val="fr-FR"/>
                        </w:rPr>
                        <w:t xml:space="preserve">CIFST </w:t>
                      </w:r>
                      <w:r>
                        <w:rPr>
                          <w:rFonts w:hint="eastAsia" w:ascii="Times New Roman"/>
                          <w:sz w:val="28"/>
                          <w:szCs w:val="28"/>
                        </w:rPr>
                        <w:t>XXX—2020</w:t>
                      </w:r>
                    </w:p>
                    <w:p w14:paraId="52A29F9B">
                      <w:pPr>
                        <w:pStyle w:val="25"/>
                        <w:wordWrap w:val="0"/>
                        <w:rPr>
                          <w:rFonts w:ascii="Times New Roman" w:eastAsia="黑体"/>
                          <w:sz w:val="24"/>
                          <w:szCs w:val="22"/>
                        </w:rPr>
                      </w:pPr>
                      <w:r>
                        <w:rPr>
                          <w:rFonts w:ascii="Times New Roman" w:eastAsia="黑体"/>
                          <w:sz w:val="24"/>
                          <w:szCs w:val="22"/>
                        </w:rPr>
                        <w:t>T/CIFST XXX-20XX</w:t>
                      </w:r>
                    </w:p>
                    <w:p w14:paraId="43D1E5D5">
                      <w:pPr>
                        <w:pStyle w:val="25"/>
                        <w:wordWrap w:val="0"/>
                        <w:rPr>
                          <w:rFonts w:ascii="Times New Roman" w:eastAsia="黑体"/>
                          <w:sz w:val="24"/>
                          <w:szCs w:val="22"/>
                        </w:rPr>
                      </w:pPr>
                    </w:p>
                    <w:p w14:paraId="666B0520">
                      <w:pPr>
                        <w:pStyle w:val="25"/>
                      </w:pPr>
                    </w:p>
                  </w:txbxContent>
                </v:textbox>
                <w10:anchorlock/>
              </v:shape>
            </w:pict>
          </mc:Fallback>
        </mc:AlternateContent>
      </w:r>
    </w:p>
    <w:bookmarkEnd w:id="0"/>
    <w:p w14:paraId="60077051">
      <w:pPr>
        <w:widowControl/>
        <w:jc w:val="center"/>
        <w:rPr>
          <w:rFonts w:hint="default" w:ascii="Times New Roman" w:hAnsi="Times New Roman" w:eastAsia="宋体"/>
          <w:sz w:val="40"/>
          <w:szCs w:val="28"/>
          <w:lang w:val="zh-TW" w:eastAsia="zh-TW"/>
        </w:rPr>
      </w:pPr>
      <w:r>
        <w:rPr>
          <w:rFonts w:hint="eastAsia" w:ascii="黑体" w:hAnsi="黑体" w:eastAsia="黑体" w:cs="黑体"/>
          <w:sz w:val="32"/>
          <w:szCs w:val="32"/>
          <w:lang w:val="zh-TW" w:eastAsia="zh-TW"/>
        </w:rPr>
        <w:t>前</w:t>
      </w:r>
      <w:r>
        <w:rPr>
          <w:rFonts w:hint="eastAsia" w:ascii="黑体" w:hAnsi="黑体" w:eastAsia="黑体" w:cs="黑体"/>
          <w:sz w:val="32"/>
          <w:szCs w:val="32"/>
          <w:lang w:val="zh-TW"/>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val="zh-TW" w:eastAsia="zh-TW"/>
        </w:rPr>
        <w:t>言</w:t>
      </w:r>
    </w:p>
    <w:p w14:paraId="186CC3F9">
      <w:pPr>
        <w:widowControl/>
        <w:rPr>
          <w:rFonts w:hint="default" w:ascii="Times New Roman" w:hAnsi="Times New Roman" w:eastAsia="宋体"/>
          <w:sz w:val="24"/>
          <w:szCs w:val="28"/>
          <w:lang w:val="zh-TW"/>
        </w:rPr>
      </w:pPr>
    </w:p>
    <w:p w14:paraId="1FA6D431">
      <w:pPr>
        <w:widowControl/>
        <w:rPr>
          <w:rFonts w:hint="default" w:ascii="Times New Roman" w:hAnsi="Times New Roman" w:eastAsia="宋体"/>
          <w:sz w:val="24"/>
          <w:szCs w:val="28"/>
          <w:lang w:val="zh-TW"/>
        </w:rPr>
      </w:pPr>
    </w:p>
    <w:p w14:paraId="5E272022">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t>本</w:t>
      </w:r>
      <w:r>
        <w:rPr>
          <w:rFonts w:hint="default" w:ascii="Times New Roman" w:hAnsi="Times New Roman" w:eastAsia="宋体"/>
          <w:kern w:val="0"/>
        </w:rPr>
        <w:t>文件</w:t>
      </w:r>
      <w:r>
        <w:rPr>
          <w:rFonts w:hint="default" w:ascii="Times New Roman" w:hAnsi="Times New Roman" w:eastAsia="宋体"/>
          <w:kern w:val="0"/>
          <w:lang w:val="zh-TW" w:eastAsia="zh-TW"/>
        </w:rPr>
        <w:t>按照GB/T 1.1-20</w:t>
      </w:r>
      <w:r>
        <w:rPr>
          <w:rFonts w:hint="default" w:ascii="Times New Roman" w:hAnsi="Times New Roman" w:eastAsia="宋体"/>
          <w:kern w:val="0"/>
        </w:rPr>
        <w:t>20</w:t>
      </w:r>
      <w:r>
        <w:rPr>
          <w:rFonts w:hint="default" w:ascii="Times New Roman" w:hAnsi="Times New Roman" w:eastAsia="宋体"/>
          <w:kern w:val="0"/>
          <w:lang w:val="zh-TW" w:eastAsia="zh-TW"/>
        </w:rPr>
        <w:t>《标准化工作导则 第1部分：标准化文件的结构和起草规则》的规定起草。</w:t>
      </w:r>
    </w:p>
    <w:p w14:paraId="1E08AB5E">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t>本文件参考GB 24154-2015《食品安全国家标准 运动营养食品通则》，结合运动人群运动后恢复的营养需求特点制定。</w:t>
      </w:r>
    </w:p>
    <w:p w14:paraId="4DA30805">
      <w:pPr>
        <w:ind w:firstLine="420"/>
        <w:rPr>
          <w:rFonts w:hint="default" w:ascii="Times New Roman" w:hAnsi="Times New Roman" w:eastAsia="宋体"/>
          <w:kern w:val="0"/>
          <w:lang w:val="zh-TW" w:eastAsia="zh-TW"/>
        </w:rPr>
      </w:pPr>
      <w:r>
        <w:rPr>
          <w:rFonts w:hint="default" w:ascii="Times New Roman" w:hAnsi="Times New Roman" w:eastAsia="宋体" w:cs="Times New Roman"/>
          <w:kern w:val="0"/>
          <w:lang w:val="zh-TW" w:eastAsia="zh-TW"/>
        </w:rPr>
        <w:t>本</w:t>
      </w:r>
      <w:r>
        <w:rPr>
          <w:rFonts w:hint="default" w:ascii="Times New Roman" w:hAnsi="Times New Roman" w:eastAsia="宋体" w:cs="Times New Roman"/>
          <w:kern w:val="0"/>
          <w:lang w:val="zh-TW"/>
        </w:rPr>
        <w:t>文件</w:t>
      </w:r>
      <w:r>
        <w:rPr>
          <w:rFonts w:hint="default" w:ascii="Times New Roman" w:hAnsi="Times New Roman" w:eastAsia="宋体" w:cs="Times New Roman"/>
          <w:kern w:val="0"/>
          <w:lang w:val="zh-TW" w:eastAsia="zh-TW"/>
        </w:rPr>
        <w:t>由中国食品</w:t>
      </w:r>
      <w:r>
        <w:rPr>
          <w:rFonts w:hint="default" w:ascii="Times New Roman" w:hAnsi="Times New Roman" w:eastAsia="宋体" w:cs="Times New Roman"/>
          <w:kern w:val="0"/>
          <w:lang w:val="zh-TW"/>
        </w:rPr>
        <w:t>科学</w:t>
      </w:r>
      <w:r>
        <w:rPr>
          <w:rFonts w:hint="default" w:ascii="Times New Roman" w:hAnsi="Times New Roman" w:eastAsia="宋体" w:cs="Times New Roman"/>
          <w:kern w:val="0"/>
          <w:lang w:val="zh-TW" w:eastAsia="zh-TW"/>
        </w:rPr>
        <w:t>技术学会提出并归口</w:t>
      </w:r>
      <w:r>
        <w:rPr>
          <w:rFonts w:hint="default" w:ascii="Times New Roman" w:hAnsi="Times New Roman" w:eastAsia="宋体"/>
          <w:kern w:val="0"/>
          <w:lang w:val="zh-TW" w:eastAsia="zh-TW"/>
        </w:rPr>
        <w:t>。</w:t>
      </w:r>
    </w:p>
    <w:p w14:paraId="02777D9D">
      <w:pPr>
        <w:ind w:firstLine="420"/>
        <w:rPr>
          <w:rFonts w:hint="default" w:ascii="Times New Roman" w:hAnsi="Times New Roman" w:eastAsia="宋体"/>
          <w:kern w:val="0"/>
          <w:lang w:val="zh-TW"/>
        </w:rPr>
      </w:pPr>
      <w:r>
        <w:rPr>
          <w:rFonts w:hint="default" w:ascii="Times New Roman" w:hAnsi="Times New Roman" w:eastAsia="宋体"/>
          <w:kern w:val="0"/>
          <w:lang w:val="zh-TW" w:eastAsia="zh-TW"/>
        </w:rPr>
        <w:t>本</w:t>
      </w:r>
      <w:r>
        <w:rPr>
          <w:rFonts w:hint="default" w:ascii="Times New Roman" w:hAnsi="Times New Roman" w:eastAsia="宋体"/>
          <w:kern w:val="0"/>
          <w:lang w:val="zh-TW"/>
        </w:rPr>
        <w:t>文件</w:t>
      </w:r>
      <w:r>
        <w:rPr>
          <w:rFonts w:hint="default" w:ascii="Times New Roman" w:hAnsi="Times New Roman" w:eastAsia="宋体"/>
          <w:kern w:val="0"/>
          <w:lang w:val="zh-TW" w:eastAsia="zh-TW"/>
        </w:rPr>
        <w:t>起草单位：</w:t>
      </w:r>
    </w:p>
    <w:p w14:paraId="3D1AA2B0">
      <w:pPr>
        <w:snapToGrid w:val="0"/>
        <w:spacing w:line="300" w:lineRule="auto"/>
        <w:ind w:firstLine="420" w:firstLineChars="200"/>
        <w:rPr>
          <w:rFonts w:hint="default" w:ascii="Times New Roman" w:hAnsi="Times New Roman" w:eastAsia="宋体"/>
          <w:kern w:val="0"/>
          <w:lang w:val="zh-TW" w:eastAsia="zh-TW"/>
        </w:rPr>
      </w:pPr>
      <w:r>
        <w:rPr>
          <w:rFonts w:hint="default" w:ascii="Times New Roman" w:hAnsi="Times New Roman" w:eastAsia="宋体"/>
          <w:kern w:val="0"/>
          <w:lang w:val="zh-TW" w:eastAsia="zh-TW"/>
        </w:rPr>
        <w:t>本文件主要起草人：</w:t>
      </w:r>
    </w:p>
    <w:p w14:paraId="41E00BB0">
      <w:pPr>
        <w:snapToGrid w:val="0"/>
        <w:spacing w:line="300" w:lineRule="auto"/>
        <w:ind w:firstLine="420" w:firstLineChars="200"/>
        <w:rPr>
          <w:rFonts w:hint="default" w:ascii="Times New Roman" w:hAnsi="Times New Roman" w:eastAsia="宋体"/>
          <w:kern w:val="0"/>
          <w:lang w:val="zh-TW" w:eastAsia="zh-TW"/>
        </w:rPr>
      </w:pPr>
    </w:p>
    <w:p w14:paraId="4B2D2FEF">
      <w:pPr>
        <w:ind w:firstLine="420"/>
        <w:rPr>
          <w:rFonts w:hint="default" w:ascii="Times New Roman" w:hAnsi="Times New Roman" w:eastAsia="宋体"/>
          <w:kern w:val="0"/>
          <w:lang w:val="zh-TW" w:eastAsia="zh-TW"/>
        </w:rPr>
      </w:pPr>
    </w:p>
    <w:p w14:paraId="1F94CB3A">
      <w:pPr>
        <w:ind w:firstLine="420"/>
        <w:rPr>
          <w:rFonts w:hint="default" w:ascii="Times New Roman" w:hAnsi="Times New Roman" w:eastAsia="宋体"/>
          <w:kern w:val="0"/>
          <w:lang w:val="zh-TW" w:eastAsia="zh-TW"/>
        </w:rPr>
      </w:pPr>
    </w:p>
    <w:p w14:paraId="2A453D06">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br w:type="page"/>
      </w:r>
    </w:p>
    <w:p w14:paraId="162D710E">
      <w:pPr>
        <w:bidi w:val="0"/>
        <w:jc w:val="left"/>
        <w:rPr>
          <w:rFonts w:hint="default" w:ascii="Times New Roman" w:hAnsi="Times New Roman" w:eastAsia="宋体" w:cs="Times New Roman"/>
          <w:kern w:val="2"/>
          <w:sz w:val="21"/>
          <w:szCs w:val="24"/>
          <w:lang w:val="zh-TW" w:eastAsia="zh-TW" w:bidi="ar-SA"/>
        </w:rPr>
      </w:pPr>
    </w:p>
    <w:p w14:paraId="5F92C4A3">
      <w:pPr>
        <w:bidi w:val="0"/>
        <w:jc w:val="left"/>
        <w:rPr>
          <w:rFonts w:hint="default" w:ascii="Times New Roman" w:hAnsi="Times New Roman" w:eastAsia="宋体" w:cs="Times New Roman"/>
          <w:kern w:val="2"/>
          <w:sz w:val="21"/>
          <w:szCs w:val="24"/>
          <w:lang w:val="zh-TW" w:eastAsia="zh-TW" w:bidi="ar-SA"/>
        </w:rPr>
      </w:pPr>
    </w:p>
    <w:p w14:paraId="3D42D790">
      <w:pPr>
        <w:spacing w:before="156" w:after="156" w:line="276" w:lineRule="auto"/>
        <w:jc w:val="center"/>
        <w:rPr>
          <w:rFonts w:hint="default" w:ascii="Times New Roman" w:hAnsi="Times New Roman" w:eastAsia="宋体" w:cs="Times New Roman"/>
          <w:b/>
          <w:bCs/>
          <w:sz w:val="32"/>
          <w:szCs w:val="32"/>
        </w:rPr>
      </w:pPr>
      <w:r>
        <w:rPr>
          <w:rFonts w:hint="eastAsia" w:ascii="黑体" w:hAnsi="黑体" w:eastAsia="黑体" w:cs="黑体"/>
          <w:b w:val="0"/>
          <w:bCs w:val="0"/>
          <w:sz w:val="32"/>
          <w:szCs w:val="32"/>
        </w:rPr>
        <w:t>运动营养食品</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运动后恢复类</w:t>
      </w:r>
    </w:p>
    <w:p w14:paraId="4854749F">
      <w:pPr>
        <w:spacing w:before="156" w:after="156" w:line="276" w:lineRule="auto"/>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 xml:space="preserve"> </w:t>
      </w:r>
    </w:p>
    <w:p w14:paraId="6B0AD246">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eastAsia" w:ascii="黑体" w:hAnsi="黑体" w:eastAsia="黑体" w:cs="黑体"/>
        </w:rPr>
        <w:t>1</w:t>
      </w:r>
      <w:r>
        <w:rPr>
          <w:rFonts w:hint="default" w:ascii="Times New Roman" w:hAnsi="Times New Roman" w:eastAsia="黑体"/>
        </w:rPr>
        <w:t xml:space="preserve"> </w:t>
      </w:r>
      <w:r>
        <w:rPr>
          <w:rFonts w:hint="eastAsia" w:ascii="Times New Roman" w:cs="Times New Roman"/>
          <w:lang w:val="en-US" w:eastAsia="zh-CN"/>
        </w:rPr>
        <w:t xml:space="preserve"> </w:t>
      </w:r>
      <w:r>
        <w:rPr>
          <w:rFonts w:hint="default" w:ascii="Times New Roman" w:hAnsi="Times New Roman" w:eastAsia="黑体"/>
          <w:lang w:val="zh-TW" w:eastAsia="zh-TW"/>
        </w:rPr>
        <w:t>范围</w:t>
      </w:r>
    </w:p>
    <w:p w14:paraId="1931B175">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本文件规定了运动后恢复类运动营养食品的术语和定义，分类，基本要求，技术要求，净含量，生产加工过程卫生要求，检验规则，判定规则，标签、包装、运输和贮存要求。</w:t>
      </w:r>
    </w:p>
    <w:p w14:paraId="227189E2">
      <w:pPr>
        <w:pStyle w:val="19"/>
        <w:ind w:firstLine="420"/>
        <w:rPr>
          <w:rFonts w:hint="default" w:ascii="Times New Roman" w:hAnsi="Times New Roman" w:eastAsia="宋体"/>
          <w:b w:val="0"/>
          <w:bCs w:val="0"/>
          <w:color w:val="000000" w:themeColor="text1"/>
          <w:lang w:val="zh-TW" w:eastAsia="zh-TW"/>
          <w14:textFill>
            <w14:solidFill>
              <w14:schemeClr w14:val="tx1"/>
            </w14:solidFill>
          </w14:textFill>
        </w:rPr>
      </w:pPr>
      <w:r>
        <w:rPr>
          <w:rFonts w:hint="default" w:ascii="Times New Roman" w:hAnsi="Times New Roman" w:eastAsia="宋体"/>
          <w:b w:val="0"/>
          <w:bCs w:val="0"/>
          <w:color w:val="000000" w:themeColor="text1"/>
          <w:lang w:val="zh-TW" w:eastAsia="zh-TW"/>
          <w14:textFill>
            <w14:solidFill>
              <w14:schemeClr w14:val="tx1"/>
            </w14:solidFill>
          </w14:textFill>
        </w:rPr>
        <w:t>本文件适用于促进运动后恢复的运动营养食品，其产品形态可以是液态、半固态（胶体状、果冻状、果泥状等）、固态（粉剂、压片、棒状、凝胶糖果等）。</w:t>
      </w:r>
    </w:p>
    <w:p w14:paraId="78C3554D">
      <w:pPr>
        <w:pStyle w:val="20"/>
        <w:numPr>
          <w:ilvl w:val="0"/>
          <w:numId w:val="0"/>
        </w:numPr>
        <w:adjustRightInd w:val="0"/>
        <w:snapToGrid w:val="0"/>
        <w:spacing w:before="0" w:beforeLines="100" w:after="0" w:afterLines="100"/>
        <w:rPr>
          <w:rFonts w:hint="default" w:ascii="Times New Roman" w:hAnsi="Times New Roman" w:eastAsia="黑体"/>
          <w:b w:val="0"/>
          <w:bCs w:val="0"/>
          <w:color w:val="auto"/>
          <w:lang w:val="zh-TW" w:eastAsia="zh-TW"/>
        </w:rPr>
      </w:pPr>
      <w:r>
        <w:rPr>
          <w:rFonts w:hint="default" w:ascii="黑体" w:hAnsi="黑体" w:eastAsia="黑体" w:cs="黑体"/>
        </w:rPr>
        <w:t>2</w:t>
      </w:r>
      <w:r>
        <w:rPr>
          <w:rFonts w:hint="default" w:ascii="Times New Roman" w:hAnsi="Times New Roman" w:eastAsia="黑体"/>
          <w:b w:val="0"/>
          <w:bCs w:val="0"/>
          <w:color w:val="auto"/>
        </w:rPr>
        <w:t xml:space="preserve"> </w:t>
      </w:r>
      <w:r>
        <w:rPr>
          <w:rFonts w:hint="eastAsia" w:ascii="Times New Roman"/>
          <w:b w:val="0"/>
          <w:bCs w:val="0"/>
          <w:lang w:val="en-US" w:eastAsia="zh-CN"/>
        </w:rPr>
        <w:t xml:space="preserve"> </w:t>
      </w:r>
      <w:r>
        <w:rPr>
          <w:rFonts w:hint="default" w:ascii="Times New Roman" w:hAnsi="Times New Roman" w:eastAsia="黑体"/>
          <w:b w:val="0"/>
          <w:bCs w:val="0"/>
          <w:color w:val="auto"/>
          <w:lang w:val="zh-TW" w:eastAsia="zh-TW"/>
        </w:rPr>
        <w:t>规范性引用文件</w:t>
      </w:r>
    </w:p>
    <w:p w14:paraId="78AC5FA2">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4004F68">
      <w:pPr>
        <w:pStyle w:val="19"/>
        <w:ind w:firstLine="420"/>
        <w:rPr>
          <w:rFonts w:hint="default" w:ascii="Times New Roman"/>
          <w:lang w:val="zh-TW"/>
        </w:rPr>
      </w:pPr>
      <w:r>
        <w:rPr>
          <w:rFonts w:hint="default" w:ascii="Times New Roman"/>
          <w:lang w:val="zh-TW"/>
        </w:rPr>
        <w:t xml:space="preserve">GB 2760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食品添加剂使用标准</w:t>
      </w:r>
    </w:p>
    <w:p w14:paraId="7027939E">
      <w:pPr>
        <w:pStyle w:val="19"/>
        <w:ind w:firstLine="420"/>
        <w:rPr>
          <w:rFonts w:hint="default" w:ascii="Times New Roman"/>
          <w:lang w:val="zh-TW"/>
        </w:rPr>
      </w:pPr>
      <w:r>
        <w:rPr>
          <w:rFonts w:hint="default" w:ascii="Times New Roman"/>
          <w:lang w:val="zh-TW"/>
        </w:rPr>
        <w:t xml:space="preserve">GB 2761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食品中真菌毒素限量</w:t>
      </w:r>
    </w:p>
    <w:p w14:paraId="03B77A2D">
      <w:pPr>
        <w:pStyle w:val="19"/>
        <w:ind w:firstLine="420"/>
        <w:rPr>
          <w:rFonts w:hint="default" w:ascii="Times New Roman"/>
          <w:lang w:val="zh-TW"/>
        </w:rPr>
      </w:pPr>
      <w:r>
        <w:rPr>
          <w:rFonts w:hint="default" w:ascii="Times New Roman"/>
          <w:lang w:val="zh-TW"/>
        </w:rPr>
        <w:t xml:space="preserve">GB 2762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食品中污染物限量</w:t>
      </w:r>
    </w:p>
    <w:p w14:paraId="1B2E4E98">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GB 4789.1</w:t>
      </w:r>
      <w:r>
        <w:rPr>
          <w:rFonts w:hint="eastAsia" w:ascii="Times New Roman"/>
          <w:lang w:val="en-US" w:eastAsia="zh-CN"/>
        </w:rPr>
        <w:t xml:space="preserve">  </w:t>
      </w:r>
      <w:r>
        <w:rPr>
          <w:rFonts w:hint="default" w:ascii="Times New Roman" w:hAnsi="Times New Roman" w:eastAsia="宋体"/>
          <w:lang w:val="zh-TW" w:eastAsia="zh-TW"/>
        </w:rPr>
        <w:t>食品安全国家标准</w:t>
      </w:r>
      <w:r>
        <w:rPr>
          <w:rFonts w:hint="eastAsia" w:ascii="Times New Roman"/>
          <w:lang w:val="en-US" w:eastAsia="zh-CN"/>
        </w:rPr>
        <w:t xml:space="preserve">  </w:t>
      </w:r>
      <w:r>
        <w:rPr>
          <w:rFonts w:hint="default" w:ascii="Times New Roman" w:hAnsi="Times New Roman" w:eastAsia="宋体"/>
          <w:lang w:val="zh-TW" w:eastAsia="zh-TW"/>
        </w:rPr>
        <w:t>食品微生物学检验总则</w:t>
      </w:r>
    </w:p>
    <w:p w14:paraId="2A37A2A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4789.2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 xml:space="preserve">食品微生物学检验 </w:t>
      </w:r>
      <w:r>
        <w:rPr>
          <w:rFonts w:hint="eastAsia" w:ascii="Times New Roman"/>
          <w:lang w:val="en-US" w:eastAsia="zh-CN"/>
        </w:rPr>
        <w:t xml:space="preserve"> </w:t>
      </w:r>
      <w:r>
        <w:rPr>
          <w:rFonts w:hint="default" w:ascii="Times New Roman" w:hAnsi="Times New Roman" w:eastAsia="宋体"/>
          <w:lang w:val="zh-TW" w:eastAsia="zh-TW"/>
        </w:rPr>
        <w:t>菌落总数测定</w:t>
      </w:r>
    </w:p>
    <w:p w14:paraId="1164AC0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4789.3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 xml:space="preserve">食品微生物学检验 </w:t>
      </w:r>
      <w:r>
        <w:rPr>
          <w:rFonts w:hint="eastAsia" w:ascii="Times New Roman"/>
          <w:lang w:val="en-US" w:eastAsia="zh-CN"/>
        </w:rPr>
        <w:t xml:space="preserve"> </w:t>
      </w:r>
      <w:r>
        <w:rPr>
          <w:rFonts w:hint="default" w:ascii="Times New Roman" w:hAnsi="Times New Roman" w:eastAsia="宋体"/>
          <w:lang w:val="zh-TW" w:eastAsia="zh-TW"/>
        </w:rPr>
        <w:t>大肠菌群计数</w:t>
      </w:r>
    </w:p>
    <w:p w14:paraId="5016B8C0">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4789.18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 xml:space="preserve">食品微生物学检验 </w:t>
      </w:r>
      <w:r>
        <w:rPr>
          <w:rFonts w:hint="eastAsia" w:ascii="Times New Roman"/>
          <w:lang w:val="en-US" w:eastAsia="zh-CN"/>
        </w:rPr>
        <w:t xml:space="preserve"> </w:t>
      </w:r>
      <w:r>
        <w:rPr>
          <w:rFonts w:hint="default" w:ascii="Times New Roman" w:hAnsi="Times New Roman" w:eastAsia="宋体"/>
          <w:lang w:val="zh-TW" w:eastAsia="zh-TW"/>
        </w:rPr>
        <w:t>乳与乳制品采样和检样处理</w:t>
      </w:r>
    </w:p>
    <w:p w14:paraId="6CC3433C">
      <w:pPr>
        <w:pStyle w:val="19"/>
        <w:ind w:firstLine="420"/>
        <w:rPr>
          <w:rFonts w:hint="default" w:ascii="Times New Roman"/>
          <w:lang w:val="zh-TW"/>
        </w:rPr>
      </w:pPr>
      <w:r>
        <w:rPr>
          <w:rFonts w:hint="default" w:ascii="Times New Roman"/>
          <w:lang w:val="zh-TW"/>
        </w:rPr>
        <w:t xml:space="preserve">GB 4789.26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 xml:space="preserve">食品微生物学检验 </w:t>
      </w:r>
      <w:r>
        <w:rPr>
          <w:rFonts w:hint="eastAsia" w:ascii="Times New Roman"/>
          <w:lang w:val="en-US" w:eastAsia="zh-CN"/>
        </w:rPr>
        <w:t xml:space="preserve"> </w:t>
      </w:r>
      <w:r>
        <w:rPr>
          <w:rFonts w:hint="default" w:ascii="Times New Roman"/>
          <w:lang w:val="zh-TW"/>
        </w:rPr>
        <w:t>商业无菌检验</w:t>
      </w:r>
    </w:p>
    <w:p w14:paraId="4B76287E">
      <w:pPr>
        <w:pStyle w:val="19"/>
        <w:ind w:firstLine="420"/>
        <w:rPr>
          <w:rFonts w:hint="default" w:ascii="Times New Roman"/>
          <w:lang w:val="zh-TW"/>
        </w:rPr>
      </w:pPr>
      <w:r>
        <w:rPr>
          <w:rFonts w:hint="default" w:ascii="Times New Roman"/>
          <w:lang w:val="zh-TW"/>
        </w:rPr>
        <w:t xml:space="preserve">GB 5009.13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食品中铜的测定</w:t>
      </w:r>
    </w:p>
    <w:p w14:paraId="3F5972EE">
      <w:pPr>
        <w:pStyle w:val="19"/>
        <w:ind w:firstLine="420"/>
        <w:rPr>
          <w:rFonts w:hint="default" w:ascii="Times New Roman"/>
          <w:lang w:val="zh-TW"/>
        </w:rPr>
      </w:pPr>
      <w:r>
        <w:rPr>
          <w:rFonts w:hint="default" w:ascii="Times New Roman"/>
          <w:lang w:val="zh-TW"/>
        </w:rPr>
        <w:t xml:space="preserve">GB 5009.14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食品中锌的测定</w:t>
      </w:r>
    </w:p>
    <w:p w14:paraId="291CC302">
      <w:pPr>
        <w:pStyle w:val="19"/>
        <w:ind w:firstLine="420"/>
        <w:rPr>
          <w:rFonts w:hint="default" w:ascii="Times New Roman"/>
          <w:lang w:val="zh-TW"/>
        </w:rPr>
      </w:pPr>
      <w:r>
        <w:rPr>
          <w:rFonts w:hint="default" w:ascii="Times New Roman"/>
          <w:lang w:val="zh-TW"/>
        </w:rPr>
        <w:t xml:space="preserve">GB 5009.82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食品中维生素A、D、E的测定</w:t>
      </w:r>
    </w:p>
    <w:p w14:paraId="23868788">
      <w:pPr>
        <w:pStyle w:val="19"/>
        <w:ind w:firstLine="420"/>
        <w:rPr>
          <w:rFonts w:hint="default" w:ascii="Times New Roman"/>
          <w:lang w:val="zh-TW"/>
        </w:rPr>
      </w:pPr>
      <w:r>
        <w:rPr>
          <w:rFonts w:hint="default" w:ascii="Times New Roman"/>
          <w:lang w:val="zh-TW"/>
        </w:rPr>
        <w:t xml:space="preserve">GB 5009.84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食品中维生素B</w:t>
      </w:r>
      <w:r>
        <w:rPr>
          <w:rFonts w:hint="default" w:ascii="Times New Roman"/>
          <w:vertAlign w:val="subscript"/>
          <w:lang w:val="zh-TW"/>
        </w:rPr>
        <w:t>1</w:t>
      </w:r>
      <w:r>
        <w:rPr>
          <w:rFonts w:hint="default" w:ascii="Times New Roman"/>
          <w:lang w:val="zh-TW"/>
        </w:rPr>
        <w:t>的测定</w:t>
      </w:r>
    </w:p>
    <w:p w14:paraId="4305DAB0">
      <w:pPr>
        <w:pStyle w:val="19"/>
        <w:ind w:firstLine="420"/>
        <w:rPr>
          <w:rFonts w:hint="default" w:ascii="Times New Roman"/>
          <w:lang w:val="zh-TW"/>
        </w:rPr>
      </w:pPr>
      <w:r>
        <w:rPr>
          <w:rFonts w:hint="default" w:ascii="Times New Roman"/>
          <w:lang w:val="zh-TW"/>
        </w:rPr>
        <w:t xml:space="preserve">GB 5009.85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食品中维生素B</w:t>
      </w:r>
      <w:r>
        <w:rPr>
          <w:rFonts w:hint="default" w:ascii="Times New Roman"/>
          <w:vertAlign w:val="subscript"/>
          <w:lang w:val="zh-TW"/>
        </w:rPr>
        <w:t>2</w:t>
      </w:r>
      <w:r>
        <w:rPr>
          <w:rFonts w:hint="default" w:ascii="Times New Roman"/>
          <w:lang w:val="zh-TW"/>
        </w:rPr>
        <w:t>的测定</w:t>
      </w:r>
    </w:p>
    <w:p w14:paraId="0016781A">
      <w:pPr>
        <w:pStyle w:val="19"/>
        <w:ind w:firstLine="420"/>
        <w:rPr>
          <w:rFonts w:hint="default" w:ascii="Times New Roman"/>
          <w:lang w:val="zh-TW"/>
        </w:rPr>
      </w:pPr>
      <w:r>
        <w:rPr>
          <w:rFonts w:hint="default" w:ascii="Times New Roman"/>
          <w:lang w:val="zh-TW"/>
        </w:rPr>
        <w:t xml:space="preserve">GB 5009.87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食品中磷的测定</w:t>
      </w:r>
    </w:p>
    <w:p w14:paraId="76BA6E30">
      <w:pPr>
        <w:pStyle w:val="19"/>
        <w:ind w:firstLine="420"/>
        <w:rPr>
          <w:rFonts w:hint="default" w:ascii="Times New Roman"/>
          <w:lang w:val="zh-TW"/>
        </w:rPr>
      </w:pPr>
      <w:r>
        <w:rPr>
          <w:rFonts w:hint="default" w:ascii="Times New Roman"/>
          <w:lang w:val="zh-TW"/>
        </w:rPr>
        <w:t xml:space="preserve">GB 5009.89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食品中烟酸和烟酰胺的测定</w:t>
      </w:r>
    </w:p>
    <w:p w14:paraId="49F92214">
      <w:pPr>
        <w:pStyle w:val="19"/>
        <w:ind w:firstLine="420"/>
        <w:rPr>
          <w:rFonts w:hint="default" w:ascii="Times New Roman"/>
          <w:lang w:val="zh-TW"/>
        </w:rPr>
      </w:pPr>
      <w:r>
        <w:rPr>
          <w:rFonts w:hint="default" w:ascii="Times New Roman"/>
          <w:lang w:val="zh-TW"/>
        </w:rPr>
        <w:t xml:space="preserve">GB 5009.90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食品中铁的测定</w:t>
      </w:r>
    </w:p>
    <w:p w14:paraId="73B9F381">
      <w:pPr>
        <w:pStyle w:val="19"/>
        <w:ind w:firstLine="420"/>
        <w:rPr>
          <w:rFonts w:hint="default" w:ascii="Times New Roman"/>
          <w:lang w:val="zh-TW"/>
        </w:rPr>
      </w:pPr>
      <w:r>
        <w:rPr>
          <w:rFonts w:hint="default" w:ascii="Times New Roman"/>
          <w:lang w:val="zh-TW"/>
        </w:rPr>
        <w:t xml:space="preserve">GB 5009.91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食品中钾、钠的测定</w:t>
      </w:r>
    </w:p>
    <w:p w14:paraId="1433C53B">
      <w:pPr>
        <w:pStyle w:val="19"/>
        <w:ind w:firstLine="420"/>
        <w:rPr>
          <w:rFonts w:hint="default" w:ascii="Times New Roman"/>
          <w:lang w:val="zh-TW"/>
        </w:rPr>
      </w:pPr>
      <w:r>
        <w:rPr>
          <w:rFonts w:hint="default" w:ascii="Times New Roman"/>
          <w:lang w:val="zh-TW"/>
        </w:rPr>
        <w:t xml:space="preserve">GB 5009.92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食品中钙的测定</w:t>
      </w:r>
    </w:p>
    <w:p w14:paraId="0D18E18E">
      <w:pPr>
        <w:pStyle w:val="19"/>
        <w:ind w:firstLine="420"/>
        <w:rPr>
          <w:rFonts w:hint="default" w:ascii="Times New Roman"/>
          <w:lang w:val="zh-TW"/>
        </w:rPr>
      </w:pPr>
      <w:r>
        <w:rPr>
          <w:rFonts w:hint="default" w:ascii="Times New Roman"/>
          <w:lang w:val="zh-TW"/>
        </w:rPr>
        <w:t xml:space="preserve">GB 5009.93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食品中硒的测定</w:t>
      </w:r>
    </w:p>
    <w:p w14:paraId="31177BE7">
      <w:pPr>
        <w:pStyle w:val="19"/>
        <w:ind w:firstLine="420"/>
        <w:rPr>
          <w:rFonts w:hint="default" w:ascii="Times New Roman"/>
          <w:lang w:val="zh-TW"/>
        </w:rPr>
      </w:pPr>
      <w:r>
        <w:rPr>
          <w:rFonts w:hint="default" w:ascii="Times New Roman"/>
          <w:lang w:val="zh-TW"/>
        </w:rPr>
        <w:t xml:space="preserve">GB 5009.123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食品中铬的测定</w:t>
      </w:r>
    </w:p>
    <w:p w14:paraId="7DF187C7">
      <w:pPr>
        <w:pStyle w:val="19"/>
        <w:ind w:firstLine="420"/>
        <w:rPr>
          <w:rFonts w:hint="default" w:ascii="Times New Roman"/>
          <w:lang w:val="zh-TW"/>
        </w:rPr>
      </w:pPr>
      <w:r>
        <w:rPr>
          <w:rFonts w:hint="default" w:ascii="Times New Roman"/>
          <w:lang w:val="zh-TW"/>
        </w:rPr>
        <w:t xml:space="preserve">GB 5009.154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食品中维生素B</w:t>
      </w:r>
      <w:r>
        <w:rPr>
          <w:rFonts w:hint="default" w:ascii="Times New Roman"/>
          <w:vertAlign w:val="subscript"/>
          <w:lang w:val="zh-TW"/>
        </w:rPr>
        <w:t>6</w:t>
      </w:r>
      <w:r>
        <w:rPr>
          <w:rFonts w:hint="default" w:ascii="Times New Roman"/>
          <w:lang w:val="zh-TW"/>
        </w:rPr>
        <w:t>的测定</w:t>
      </w:r>
    </w:p>
    <w:p w14:paraId="5286072C">
      <w:pPr>
        <w:pStyle w:val="19"/>
        <w:ind w:firstLine="420"/>
        <w:rPr>
          <w:rFonts w:hint="default" w:ascii="Times New Roman"/>
          <w:lang w:val="zh-TW"/>
        </w:rPr>
      </w:pPr>
      <w:r>
        <w:rPr>
          <w:rFonts w:hint="default" w:ascii="Times New Roman"/>
          <w:lang w:val="zh-TW"/>
        </w:rPr>
        <w:t xml:space="preserve">GB 5009.169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食品中牛磺酸的测定</w:t>
      </w:r>
    </w:p>
    <w:p w14:paraId="7472AAA8">
      <w:pPr>
        <w:pStyle w:val="19"/>
        <w:ind w:firstLine="420"/>
        <w:rPr>
          <w:rFonts w:hint="default" w:ascii="Times New Roman"/>
          <w:lang w:val="zh-TW"/>
        </w:rPr>
      </w:pPr>
      <w:r>
        <w:rPr>
          <w:rFonts w:hint="default" w:ascii="Times New Roman"/>
          <w:lang w:val="zh-TW"/>
        </w:rPr>
        <w:t xml:space="preserve">GB 5009.210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食品中泛酸的测定</w:t>
      </w:r>
    </w:p>
    <w:p w14:paraId="4C6BDA5B">
      <w:pPr>
        <w:pStyle w:val="19"/>
        <w:ind w:firstLine="420"/>
        <w:rPr>
          <w:rFonts w:hint="default" w:ascii="Times New Roman"/>
          <w:lang w:val="zh-TW"/>
        </w:rPr>
      </w:pPr>
      <w:r>
        <w:rPr>
          <w:rFonts w:hint="default" w:ascii="Times New Roman"/>
          <w:lang w:val="zh-TW"/>
        </w:rPr>
        <w:t xml:space="preserve">GB 5009.211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食品中叶酸的测定</w:t>
      </w:r>
    </w:p>
    <w:p w14:paraId="55F0D119">
      <w:pPr>
        <w:pStyle w:val="19"/>
        <w:ind w:firstLine="420"/>
        <w:rPr>
          <w:rFonts w:hint="default" w:ascii="Times New Roman"/>
          <w:lang w:val="zh-TW"/>
        </w:rPr>
      </w:pPr>
      <w:r>
        <w:rPr>
          <w:rFonts w:hint="default" w:ascii="Times New Roman"/>
          <w:lang w:val="zh-TW"/>
        </w:rPr>
        <w:t xml:space="preserve">GB 5009.241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食品中镁的测定</w:t>
      </w:r>
    </w:p>
    <w:p w14:paraId="03ADE3D0">
      <w:pPr>
        <w:pStyle w:val="19"/>
        <w:ind w:firstLine="420"/>
        <w:rPr>
          <w:rFonts w:hint="default" w:ascii="Times New Roman"/>
          <w:lang w:val="zh-TW"/>
        </w:rPr>
      </w:pPr>
      <w:r>
        <w:rPr>
          <w:rFonts w:hint="default" w:ascii="Times New Roman"/>
          <w:lang w:val="zh-TW"/>
        </w:rPr>
        <w:t xml:space="preserve">GB 5009.242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食品中锰的测定</w:t>
      </w:r>
    </w:p>
    <w:p w14:paraId="2804ABFB">
      <w:pPr>
        <w:pStyle w:val="19"/>
        <w:ind w:firstLine="420"/>
        <w:rPr>
          <w:rFonts w:hint="default" w:ascii="Times New Roman"/>
          <w:lang w:val="zh-TW"/>
        </w:rPr>
      </w:pPr>
      <w:r>
        <w:rPr>
          <w:rFonts w:hint="default" w:ascii="Times New Roman"/>
          <w:lang w:val="zh-TW"/>
        </w:rPr>
        <w:t xml:space="preserve">GB 5009.259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食品中生物素的测定</w:t>
      </w:r>
    </w:p>
    <w:p w14:paraId="11788A8C">
      <w:pPr>
        <w:pStyle w:val="19"/>
        <w:ind w:firstLine="420"/>
        <w:rPr>
          <w:rFonts w:hint="default" w:ascii="Times New Roman"/>
          <w:lang w:val="zh-TW"/>
        </w:rPr>
      </w:pPr>
      <w:r>
        <w:rPr>
          <w:rFonts w:hint="default" w:ascii="Times New Roman"/>
          <w:lang w:val="zh-TW"/>
        </w:rPr>
        <w:t xml:space="preserve">GB 5009.267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食品中碘的测定</w:t>
      </w:r>
    </w:p>
    <w:p w14:paraId="40F14DA0">
      <w:pPr>
        <w:pStyle w:val="19"/>
        <w:ind w:firstLine="420"/>
        <w:rPr>
          <w:rFonts w:hint="default" w:ascii="Times New Roman"/>
          <w:lang w:val="zh-TW"/>
        </w:rPr>
      </w:pPr>
      <w:r>
        <w:rPr>
          <w:rFonts w:hint="default" w:ascii="Times New Roman"/>
          <w:lang w:val="zh-TW"/>
        </w:rPr>
        <w:t xml:space="preserve">GB 5009.268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食品中多元素的测定</w:t>
      </w:r>
    </w:p>
    <w:p w14:paraId="52DA1422">
      <w:pPr>
        <w:pStyle w:val="19"/>
        <w:ind w:firstLine="420"/>
        <w:rPr>
          <w:rFonts w:hint="default" w:ascii="Times New Roman"/>
          <w:lang w:val="zh-TW"/>
        </w:rPr>
      </w:pPr>
      <w:r>
        <w:rPr>
          <w:rFonts w:hint="default" w:ascii="Times New Roman"/>
          <w:lang w:val="zh-TW"/>
        </w:rPr>
        <w:t xml:space="preserve">GB 5009.285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食品中维生素B</w:t>
      </w:r>
      <w:r>
        <w:rPr>
          <w:rFonts w:hint="default" w:ascii="Times New Roman"/>
          <w:vertAlign w:val="subscript"/>
          <w:lang w:val="zh-TW"/>
        </w:rPr>
        <w:t>12</w:t>
      </w:r>
      <w:r>
        <w:rPr>
          <w:rFonts w:hint="default" w:ascii="Times New Roman"/>
          <w:lang w:val="zh-TW"/>
        </w:rPr>
        <w:t>的测定</w:t>
      </w:r>
    </w:p>
    <w:p w14:paraId="6DB816B3">
      <w:pPr>
        <w:pStyle w:val="19"/>
        <w:ind w:firstLine="420"/>
        <w:rPr>
          <w:rFonts w:hint="default" w:ascii="Times New Roman"/>
          <w:lang w:val="zh-TW"/>
        </w:rPr>
      </w:pPr>
      <w:r>
        <w:rPr>
          <w:rFonts w:hint="default" w:ascii="Times New Roman"/>
          <w:lang w:val="zh-TW"/>
        </w:rPr>
        <w:t xml:space="preserve">GB 5009.296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食品中维生素D的测定</w:t>
      </w:r>
    </w:p>
    <w:p w14:paraId="0D5171B1">
      <w:pPr>
        <w:pStyle w:val="19"/>
        <w:ind w:firstLine="420"/>
        <w:rPr>
          <w:rFonts w:hint="default" w:ascii="Times New Roman"/>
          <w:lang w:val="zh-TW"/>
        </w:rPr>
      </w:pPr>
      <w:r>
        <w:rPr>
          <w:rFonts w:hint="default" w:ascii="Times New Roman"/>
          <w:lang w:val="zh-TW"/>
        </w:rPr>
        <w:t xml:space="preserve">GB 5009.297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食品中钼的测定</w:t>
      </w:r>
    </w:p>
    <w:p w14:paraId="6E0B1733">
      <w:pPr>
        <w:pStyle w:val="19"/>
        <w:ind w:firstLine="420"/>
        <w:rPr>
          <w:rFonts w:hint="default" w:ascii="Times New Roman"/>
          <w:lang w:val="zh-TW"/>
        </w:rPr>
      </w:pPr>
      <w:r>
        <w:rPr>
          <w:rFonts w:hint="default" w:ascii="Times New Roman"/>
          <w:lang w:val="zh-TW"/>
        </w:rPr>
        <w:t xml:space="preserve">GB 5413.18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婴幼儿食品和乳品中维生素C的测定</w:t>
      </w:r>
    </w:p>
    <w:p w14:paraId="051AA0B3">
      <w:pPr>
        <w:pStyle w:val="19"/>
        <w:ind w:firstLine="420"/>
        <w:rPr>
          <w:rFonts w:hint="default" w:ascii="Times New Roman"/>
          <w:lang w:val="zh-TW"/>
        </w:rPr>
      </w:pPr>
      <w:r>
        <w:rPr>
          <w:rFonts w:hint="default" w:ascii="Times New Roman"/>
          <w:lang w:val="zh-TW"/>
        </w:rPr>
        <w:t xml:space="preserve">GB 5413.31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婴幼儿食品和乳品中脲酶的测定</w:t>
      </w:r>
    </w:p>
    <w:p w14:paraId="5E70EAC4">
      <w:pPr>
        <w:pStyle w:val="19"/>
        <w:ind w:firstLine="420"/>
        <w:rPr>
          <w:rFonts w:hint="default" w:ascii="Times New Roman"/>
          <w:lang w:val="zh-TW"/>
        </w:rPr>
      </w:pPr>
      <w:r>
        <w:rPr>
          <w:rFonts w:hint="default" w:ascii="Times New Roman"/>
          <w:lang w:val="zh-TW"/>
        </w:rPr>
        <w:t xml:space="preserve">GB 13432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预包装特殊膳食用食品标签</w:t>
      </w:r>
    </w:p>
    <w:p w14:paraId="7448583E">
      <w:pPr>
        <w:pStyle w:val="19"/>
        <w:ind w:firstLine="420"/>
        <w:rPr>
          <w:rFonts w:hint="default" w:ascii="Times New Roman"/>
          <w:lang w:val="zh-TW"/>
        </w:rPr>
      </w:pPr>
      <w:r>
        <w:rPr>
          <w:rFonts w:hint="default" w:ascii="Times New Roman"/>
          <w:lang w:val="zh-TW"/>
        </w:rPr>
        <w:t xml:space="preserve">GB 14880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 xml:space="preserve">食品营养强化剂使用标准 </w:t>
      </w:r>
    </w:p>
    <w:p w14:paraId="7D9C563C">
      <w:pPr>
        <w:pStyle w:val="19"/>
        <w:ind w:firstLine="420"/>
        <w:rPr>
          <w:rFonts w:hint="default" w:ascii="Times New Roman"/>
          <w:lang w:val="zh-TW"/>
        </w:rPr>
      </w:pPr>
      <w:r>
        <w:rPr>
          <w:rFonts w:hint="default" w:ascii="Times New Roman"/>
          <w:lang w:val="zh-TW"/>
        </w:rPr>
        <w:t xml:space="preserve">GB 14881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 xml:space="preserve">食品生产通用卫生规范 </w:t>
      </w:r>
    </w:p>
    <w:p w14:paraId="6634FDBA">
      <w:pPr>
        <w:pStyle w:val="19"/>
        <w:ind w:firstLine="420"/>
        <w:rPr>
          <w:rFonts w:hint="default" w:ascii="Times New Roman"/>
          <w:lang w:val="zh-TW"/>
        </w:rPr>
      </w:pPr>
      <w:r>
        <w:rPr>
          <w:rFonts w:hint="default" w:ascii="Times New Roman"/>
          <w:lang w:val="zh-TW"/>
        </w:rPr>
        <w:t xml:space="preserve">GB/T 22492 </w:t>
      </w:r>
      <w:r>
        <w:rPr>
          <w:rFonts w:hint="eastAsia" w:ascii="Times New Roman"/>
          <w:lang w:val="en-US" w:eastAsia="zh-CN"/>
        </w:rPr>
        <w:t xml:space="preserve"> </w:t>
      </w:r>
      <w:r>
        <w:rPr>
          <w:rFonts w:hint="default" w:ascii="Times New Roman"/>
          <w:lang w:val="zh-TW"/>
        </w:rPr>
        <w:t>大豆肽粉</w:t>
      </w:r>
    </w:p>
    <w:p w14:paraId="4387AE0A">
      <w:pPr>
        <w:pStyle w:val="19"/>
        <w:ind w:firstLine="420"/>
        <w:rPr>
          <w:rFonts w:hint="default" w:ascii="Times New Roman"/>
          <w:lang w:val="zh-TW"/>
        </w:rPr>
      </w:pPr>
      <w:r>
        <w:rPr>
          <w:rFonts w:hint="default" w:ascii="Times New Roman"/>
          <w:lang w:val="zh-TW"/>
        </w:rPr>
        <w:t xml:space="preserve">GB 24154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运动营养食品通则</w:t>
      </w:r>
    </w:p>
    <w:p w14:paraId="71F066E3">
      <w:pPr>
        <w:pStyle w:val="19"/>
        <w:ind w:firstLine="420"/>
        <w:rPr>
          <w:rFonts w:hint="default" w:ascii="Times New Roman"/>
          <w:lang w:val="zh-TW"/>
        </w:rPr>
      </w:pPr>
      <w:r>
        <w:rPr>
          <w:rFonts w:hint="default" w:ascii="Times New Roman"/>
          <w:lang w:val="zh-TW"/>
        </w:rPr>
        <w:t xml:space="preserve">GB 29921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食品中致病菌限量</w:t>
      </w:r>
    </w:p>
    <w:p w14:paraId="5FB675E0">
      <w:pPr>
        <w:pStyle w:val="19"/>
        <w:ind w:firstLine="420"/>
        <w:rPr>
          <w:rFonts w:hint="default" w:ascii="Times New Roman"/>
          <w:lang w:val="zh-TW"/>
        </w:rPr>
      </w:pPr>
      <w:r>
        <w:rPr>
          <w:rFonts w:hint="default" w:ascii="Times New Roman"/>
          <w:lang w:val="zh-TW"/>
        </w:rPr>
        <w:t xml:space="preserve">GB 29989 </w:t>
      </w:r>
      <w:r>
        <w:rPr>
          <w:rFonts w:hint="eastAsia" w:ascii="Times New Roman"/>
          <w:lang w:val="en-US" w:eastAsia="zh-CN"/>
        </w:rPr>
        <w:t xml:space="preserve"> </w:t>
      </w:r>
      <w:r>
        <w:rPr>
          <w:rFonts w:hint="default" w:ascii="Times New Roman"/>
          <w:lang w:val="zh-TW"/>
        </w:rPr>
        <w:t xml:space="preserve">食品安全国家标准 </w:t>
      </w:r>
      <w:r>
        <w:rPr>
          <w:rFonts w:hint="eastAsia" w:ascii="Times New Roman"/>
          <w:lang w:val="en-US" w:eastAsia="zh-CN"/>
        </w:rPr>
        <w:t xml:space="preserve"> </w:t>
      </w:r>
      <w:r>
        <w:rPr>
          <w:rFonts w:hint="default" w:ascii="Times New Roman"/>
          <w:lang w:val="zh-TW"/>
        </w:rPr>
        <w:t>婴幼儿食品和乳品中左旋肉碱的测定</w:t>
      </w:r>
    </w:p>
    <w:p w14:paraId="122DD78A">
      <w:pPr>
        <w:pStyle w:val="19"/>
        <w:ind w:firstLine="420"/>
        <w:rPr>
          <w:rFonts w:hint="default" w:ascii="Times New Roman" w:hAnsi="Times New Roman" w:eastAsia="宋体"/>
          <w:lang w:val="zh-TW" w:eastAsia="zh-TW"/>
        </w:rPr>
      </w:pPr>
      <w:r>
        <w:rPr>
          <w:rFonts w:hint="default" w:ascii="Times New Roman"/>
          <w:lang w:val="zh-TW"/>
        </w:rPr>
        <w:t xml:space="preserve">JJF 1070 </w:t>
      </w:r>
      <w:r>
        <w:rPr>
          <w:rFonts w:hint="eastAsia" w:ascii="Times New Roman"/>
          <w:lang w:val="en-US" w:eastAsia="zh-CN"/>
        </w:rPr>
        <w:t xml:space="preserve"> </w:t>
      </w:r>
      <w:r>
        <w:rPr>
          <w:rFonts w:hint="default" w:ascii="Times New Roman"/>
          <w:lang w:val="zh-TW"/>
        </w:rPr>
        <w:t>定量包装商品净含量计量检验规则</w:t>
      </w:r>
    </w:p>
    <w:p w14:paraId="7CA58B96">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定量包装商品计量监督管理办法[国家质量监督检验检疫总局（2023）第70号令]</w:t>
      </w:r>
    </w:p>
    <w:p w14:paraId="74110086">
      <w:pPr>
        <w:pStyle w:val="19"/>
        <w:ind w:firstLine="420"/>
        <w:rPr>
          <w:rFonts w:hint="default" w:ascii="Times New Roman" w:hAnsi="Times New Roman" w:eastAsia="宋体"/>
          <w:lang w:val="zh-TW" w:eastAsia="zh-TW"/>
        </w:rPr>
      </w:pPr>
    </w:p>
    <w:p w14:paraId="4A2D606B">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3</w:t>
      </w:r>
      <w:r>
        <w:rPr>
          <w:rFonts w:hint="default" w:ascii="Times New Roman" w:hAnsi="Times New Roman" w:eastAsia="黑体"/>
        </w:rPr>
        <w:t xml:space="preserve"> </w:t>
      </w:r>
      <w:r>
        <w:rPr>
          <w:rFonts w:hint="eastAsia" w:ascii="Times New Roman"/>
          <w:lang w:val="en-US" w:eastAsia="zh-CN"/>
        </w:rPr>
        <w:t xml:space="preserve"> </w:t>
      </w:r>
      <w:r>
        <w:rPr>
          <w:rFonts w:hint="default" w:ascii="Times New Roman" w:hAnsi="Times New Roman" w:eastAsia="黑体"/>
          <w:lang w:val="zh-TW" w:eastAsia="zh-TW"/>
        </w:rPr>
        <w:t>术语和定义</w:t>
      </w:r>
    </w:p>
    <w:p w14:paraId="49D8BC1E">
      <w:pPr>
        <w:pStyle w:val="19"/>
        <w:spacing w:before="120" w:beforeLines="50"/>
        <w:ind w:firstLine="420"/>
        <w:rPr>
          <w:rFonts w:hint="default" w:ascii="Times New Roman" w:hAnsi="Times New Roman" w:eastAsia="宋体"/>
          <w:lang w:val="zh-TW" w:eastAsia="zh-TW"/>
        </w:rPr>
      </w:pPr>
      <w:r>
        <w:rPr>
          <w:rFonts w:hint="default" w:ascii="Times New Roman" w:hAnsi="Times New Roman" w:eastAsia="宋体"/>
          <w:lang w:val="zh-TW" w:eastAsia="zh-TW"/>
        </w:rPr>
        <w:t>下列术语和定义适用于本文件。</w:t>
      </w:r>
    </w:p>
    <w:p w14:paraId="355BCCBF">
      <w:pPr>
        <w:pStyle w:val="20"/>
        <w:numPr>
          <w:ilvl w:val="0"/>
          <w:numId w:val="0"/>
        </w:numPr>
        <w:adjustRightInd w:val="0"/>
        <w:snapToGrid w:val="0"/>
        <w:spacing w:before="0" w:beforeLines="50" w:after="0" w:afterLines="50"/>
        <w:rPr>
          <w:rFonts w:hint="default" w:ascii="Times New Roman" w:hAnsi="Times New Roman" w:eastAsia="黑体"/>
          <w:lang w:val="en-US" w:eastAsia="zh-CN"/>
        </w:rPr>
      </w:pPr>
      <w:r>
        <w:rPr>
          <w:rFonts w:hint="default" w:ascii="黑体" w:hAnsi="黑体" w:eastAsia="黑体" w:cs="黑体"/>
          <w:lang w:val="en-US" w:eastAsia="zh-CN"/>
        </w:rPr>
        <w:t>3.1</w:t>
      </w:r>
    </w:p>
    <w:p w14:paraId="3E3648DB">
      <w:pPr>
        <w:spacing w:before="120" w:beforeLines="50"/>
        <w:ind w:firstLine="420" w:firstLineChars="200"/>
        <w:rPr>
          <w:rFonts w:hint="default" w:ascii="Times New Roman" w:hAnsi="Times New Roman" w:eastAsia="宋体"/>
          <w:lang w:eastAsia="zh-TW"/>
        </w:rPr>
      </w:pPr>
      <w:r>
        <w:rPr>
          <w:rFonts w:hint="eastAsia" w:ascii="黑体" w:hAnsi="黑体" w:eastAsia="黑体" w:cs="黑体"/>
          <w:lang w:eastAsia="zh-TW"/>
        </w:rPr>
        <w:t xml:space="preserve">运动后恢复类运动营养食品 </w:t>
      </w:r>
      <w:r>
        <w:rPr>
          <w:rFonts w:hint="eastAsia" w:ascii="黑体" w:hAnsi="黑体" w:eastAsia="黑体" w:cs="黑体"/>
          <w:lang w:val="en-US" w:eastAsia="zh-CN"/>
        </w:rPr>
        <w:t xml:space="preserve"> </w:t>
      </w:r>
      <w:bookmarkStart w:id="8" w:name="_GoBack"/>
      <w:bookmarkEnd w:id="8"/>
      <w:r>
        <w:rPr>
          <w:rFonts w:hint="default" w:ascii="Times New Roman" w:hAnsi="Times New Roman" w:eastAsia="黑体"/>
          <w:b/>
          <w:bCs/>
          <w:lang w:eastAsia="zh-TW"/>
        </w:rPr>
        <w:t>sports nutritional food for post-exercise recovery</w:t>
      </w:r>
    </w:p>
    <w:p w14:paraId="457748F3">
      <w:pPr>
        <w:pStyle w:val="19"/>
        <w:spacing w:before="120" w:beforeLines="50"/>
        <w:ind w:firstLine="420" w:firstLineChars="0"/>
        <w:rPr>
          <w:rFonts w:hint="default" w:ascii="Times New Roman" w:hAnsi="Times New Roman" w:eastAsia="宋体"/>
          <w:u w:val="single"/>
          <w:lang w:eastAsia="zh-TW"/>
        </w:rPr>
      </w:pPr>
      <w:r>
        <w:rPr>
          <w:rFonts w:hint="default" w:ascii="Times New Roman" w:hAnsi="Times New Roman" w:eastAsia="宋体"/>
          <w:lang w:eastAsia="zh-TW"/>
        </w:rPr>
        <w:t>以肽类为特征</w:t>
      </w:r>
      <w:r>
        <w:rPr>
          <w:rFonts w:hint="default" w:ascii="Times New Roman" w:hAnsi="Times New Roman" w:eastAsia="宋体"/>
          <w:lang w:val="en-US" w:eastAsia="zh-CN"/>
        </w:rPr>
        <w:t>营养</w:t>
      </w:r>
      <w:r>
        <w:rPr>
          <w:rFonts w:hint="default" w:ascii="Times New Roman" w:hAnsi="Times New Roman" w:eastAsia="宋体"/>
          <w:b w:val="0"/>
          <w:strike w:val="0"/>
          <w:color w:val="000000" w:themeColor="text1"/>
          <w:lang w:eastAsia="zh-TW"/>
          <w14:textFill>
            <w14:solidFill>
              <w14:schemeClr w14:val="tx1"/>
            </w14:solidFill>
          </w14:textFill>
        </w:rPr>
        <w:t>成分</w:t>
      </w:r>
      <w:r>
        <w:rPr>
          <w:rFonts w:hint="eastAsia" w:ascii="Times New Roman" w:cs="Times New Roman"/>
          <w:lang w:eastAsia="zh-CN"/>
        </w:rPr>
        <w:t>，</w:t>
      </w:r>
      <w:r>
        <w:rPr>
          <w:rFonts w:hint="default" w:ascii="Times New Roman" w:hAnsi="Times New Roman" w:eastAsia="宋体"/>
          <w:lang w:eastAsia="zh-TW"/>
        </w:rPr>
        <w:t>为满足中、高强度（指每周参加体育锻炼3次及以上、每次持续时间30</w:t>
      </w:r>
      <w:r>
        <w:rPr>
          <w:rFonts w:hint="eastAsia" w:ascii="Times New Roman" w:cs="Times New Roman"/>
          <w:lang w:val="en-US" w:eastAsia="zh-CN"/>
        </w:rPr>
        <w:t xml:space="preserve"> </w:t>
      </w:r>
      <w:r>
        <w:rPr>
          <w:rFonts w:hint="default" w:ascii="Times New Roman" w:hAnsi="Times New Roman" w:eastAsia="宋体"/>
          <w:lang w:eastAsia="zh-TW"/>
        </w:rPr>
        <w:t>min及以上）或长时间运动后恢复的人群的生理代谢状态、运动能力及对某些营养成分的特殊需求而专门加工的食品</w:t>
      </w:r>
      <w:r>
        <w:rPr>
          <w:rFonts w:hint="default" w:ascii="Times New Roman" w:hAnsi="Times New Roman" w:eastAsia="宋体"/>
          <w:lang w:eastAsia="zh-CN"/>
        </w:rPr>
        <w:t>，</w:t>
      </w:r>
      <w:r>
        <w:rPr>
          <w:rFonts w:hint="default" w:ascii="Times New Roman" w:hAnsi="Times New Roman" w:eastAsia="宋体"/>
          <w:lang w:val="en-US" w:eastAsia="zh-CN"/>
        </w:rPr>
        <w:t>含体能恢复和骨关节恢复两种</w:t>
      </w:r>
      <w:r>
        <w:rPr>
          <w:rFonts w:hint="default" w:ascii="Times New Roman" w:hAnsi="Times New Roman" w:eastAsia="宋体"/>
          <w:lang w:eastAsia="zh-TW"/>
        </w:rPr>
        <w:t>。</w:t>
      </w:r>
    </w:p>
    <w:p w14:paraId="18E776DD">
      <w:pPr>
        <w:pStyle w:val="20"/>
        <w:numPr>
          <w:ilvl w:val="0"/>
          <w:numId w:val="0"/>
        </w:numPr>
        <w:adjustRightInd w:val="0"/>
        <w:snapToGrid w:val="0"/>
        <w:spacing w:before="0" w:beforeLines="100" w:after="0" w:afterLines="100"/>
        <w:rPr>
          <w:rFonts w:hint="default" w:ascii="Times New Roman" w:hAnsi="Times New Roman" w:eastAsia="黑体"/>
        </w:rPr>
      </w:pPr>
      <w:r>
        <w:rPr>
          <w:rFonts w:hint="default" w:ascii="黑体" w:hAnsi="黑体" w:eastAsia="黑体" w:cs="黑体"/>
        </w:rPr>
        <w:t>4</w:t>
      </w:r>
      <w:r>
        <w:rPr>
          <w:rFonts w:hint="eastAsia" w:ascii="Times New Roman"/>
          <w:lang w:val="en-US" w:eastAsia="zh-CN"/>
        </w:rPr>
        <w:t xml:space="preserve">  </w:t>
      </w:r>
      <w:r>
        <w:rPr>
          <w:rFonts w:hint="default" w:ascii="Times New Roman" w:hAnsi="Times New Roman" w:eastAsia="黑体"/>
        </w:rPr>
        <w:t>基本要求</w:t>
      </w:r>
    </w:p>
    <w:p w14:paraId="02C7B2FD">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4.1</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default" w:ascii="Times New Roman" w:hAnsi="Times New Roman" w:eastAsia="宋体"/>
          <w:lang w:val="zh-TW" w:eastAsia="zh-TW"/>
        </w:rPr>
        <w:t>运动后恢复类运动营养食品的食品安全指标应符合GB 24154的规定。</w:t>
      </w:r>
    </w:p>
    <w:p w14:paraId="422A37F3">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4.2</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食品添加剂和食品营养强化剂的使用</w:t>
      </w:r>
    </w:p>
    <w:p w14:paraId="68B14D47">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4.2.1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产品中食品添加剂的使用可参照GB 2760中相同或相近食品类别中允许使用的添加剂种类和使用量。</w:t>
      </w:r>
    </w:p>
    <w:p w14:paraId="74EE9221">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4.2.2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产品中如果添加表1中的一种或多种营养素</w:t>
      </w:r>
      <w:r>
        <w:rPr>
          <w:rFonts w:hint="eastAsia" w:ascii="Times New Roman" w:cs="Times New Roman"/>
          <w:lang w:eastAsia="zh-CN"/>
        </w:rPr>
        <w:t>，</w:t>
      </w:r>
      <w:r>
        <w:rPr>
          <w:rFonts w:hint="default" w:ascii="Times New Roman" w:hAnsi="Times New Roman" w:eastAsia="宋体"/>
          <w:lang w:eastAsia="zh-TW"/>
        </w:rPr>
        <w:t>其所使用的营养强化剂化合物来源应符合GB 14880附录C的要求。</w:t>
      </w:r>
    </w:p>
    <w:p w14:paraId="6D37E2E1">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CN" w:bidi="ar-SA"/>
        </w:rPr>
        <w:t>4.2.3</w:t>
      </w:r>
      <w:r>
        <w:rPr>
          <w:rFonts w:hint="default" w:ascii="Times New Roman" w:hAnsi="Times New Roman" w:eastAsia="宋体"/>
          <w:lang w:val="en-US" w:eastAsia="zh-CN"/>
        </w:rPr>
        <w:t xml:space="preserve"> </w:t>
      </w:r>
      <w:r>
        <w:rPr>
          <w:rFonts w:hint="eastAsia" w:ascii="Times New Roman"/>
          <w:lang w:val="en-US" w:eastAsia="zh-CN"/>
        </w:rPr>
        <w:t xml:space="preserve"> </w:t>
      </w:r>
      <w:r>
        <w:rPr>
          <w:rFonts w:hint="default" w:ascii="Times New Roman" w:hAnsi="Times New Roman" w:eastAsia="宋体"/>
          <w:lang w:val="en-US" w:eastAsia="zh-CN"/>
        </w:rPr>
        <w:t>添加其他营养成分，请按相关规定执行。</w:t>
      </w:r>
    </w:p>
    <w:p w14:paraId="7F68E70F">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4.2.</w:t>
      </w:r>
      <w:r>
        <w:rPr>
          <w:rFonts w:hint="default" w:ascii="黑体" w:hAnsi="黑体" w:eastAsia="黑体" w:cs="黑体"/>
          <w:sz w:val="21"/>
          <w:lang w:val="en-US" w:eastAsia="zh-CN" w:bidi="ar-SA"/>
        </w:rPr>
        <w:t>4</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食品添加剂和营养强化剂的质量规格应符合相应的标准和/或有关规定。</w:t>
      </w:r>
    </w:p>
    <w:p w14:paraId="76751A04">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5</w:t>
      </w:r>
      <w:r>
        <w:rPr>
          <w:rFonts w:hint="default" w:ascii="Times New Roman" w:hAnsi="Times New Roman" w:eastAsia="黑体"/>
          <w:lang w:val="zh-TW" w:eastAsia="zh-TW"/>
        </w:rPr>
        <w:t xml:space="preserve"> </w:t>
      </w:r>
      <w:r>
        <w:rPr>
          <w:rFonts w:hint="default" w:ascii="Times New Roman"/>
          <w:lang w:val="zh-TW" w:eastAsia="zh-TW"/>
        </w:rPr>
        <w:t xml:space="preserve"> </w:t>
      </w:r>
      <w:r>
        <w:rPr>
          <w:rFonts w:hint="default" w:ascii="Times New Roman" w:hAnsi="Times New Roman" w:eastAsia="黑体"/>
          <w:lang w:val="zh-TW" w:eastAsia="zh-TW"/>
        </w:rPr>
        <w:t>技术要求</w:t>
      </w:r>
    </w:p>
    <w:p w14:paraId="0573F721">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5.1</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原料要求</w:t>
      </w:r>
    </w:p>
    <w:p w14:paraId="4CDC6136">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运动后恢复类运动营养食品中所使用的原料应符合相应的标准和/或相关规定</w:t>
      </w:r>
      <w:r>
        <w:rPr>
          <w:rFonts w:hint="eastAsia" w:ascii="Times New Roman" w:cs="Times New Roman"/>
          <w:lang w:val="zh-TW" w:eastAsia="zh-CN"/>
        </w:rPr>
        <w:t>，</w:t>
      </w:r>
      <w:r>
        <w:rPr>
          <w:rFonts w:hint="default" w:ascii="Times New Roman" w:hAnsi="Times New Roman" w:eastAsia="宋体"/>
          <w:lang w:val="zh-TW" w:eastAsia="zh-TW"/>
        </w:rPr>
        <w:t>不得添加世界反兴奋剂机构禁用物质。</w:t>
      </w:r>
    </w:p>
    <w:p w14:paraId="3D8A459C">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5.2</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感官要求</w:t>
      </w:r>
    </w:p>
    <w:p w14:paraId="7C9D4836">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运动后恢复类运动营养食品的色泽、滋味、气味、组织状态、冲调性应符合相应产品的特性</w:t>
      </w:r>
      <w:r>
        <w:rPr>
          <w:rFonts w:hint="eastAsia" w:ascii="Times New Roman" w:cs="Times New Roman"/>
          <w:lang w:val="zh-TW" w:eastAsia="zh-CN"/>
        </w:rPr>
        <w:t>，</w:t>
      </w:r>
      <w:r>
        <w:rPr>
          <w:rFonts w:hint="default" w:ascii="Times New Roman" w:hAnsi="Times New Roman" w:eastAsia="宋体"/>
          <w:lang w:val="zh-TW" w:eastAsia="zh-TW"/>
        </w:rPr>
        <w:t>不应有正常视力可见的外来异物。</w:t>
      </w:r>
    </w:p>
    <w:p w14:paraId="38E837F4">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5.3</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技术指标</w:t>
      </w:r>
    </w:p>
    <w:p w14:paraId="1A4FD351">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运动后恢复类运动营养食品中必须添加成分、建议添加成分</w:t>
      </w:r>
      <w:r>
        <w:rPr>
          <w:rFonts w:hint="default" w:ascii="Times New Roman" w:hAnsi="Times New Roman" w:eastAsia="宋体" w:cs="Times New Roman"/>
          <w:lang w:val="zh-TW" w:eastAsia="zh-TW"/>
        </w:rPr>
        <w:t>应符合表1的要求</w:t>
      </w:r>
      <w:r>
        <w:rPr>
          <w:rFonts w:hint="default" w:ascii="Times New Roman" w:hAnsi="Times New Roman" w:eastAsia="宋体"/>
          <w:lang w:val="zh-TW" w:eastAsia="zh-TW"/>
        </w:rPr>
        <w:t>，其每日使用量</w:t>
      </w:r>
      <w:r>
        <w:rPr>
          <w:rFonts w:hint="default" w:ascii="Times New Roman" w:hAnsi="Times New Roman" w:eastAsia="宋体" w:cs="Times New Roman"/>
          <w:lang w:val="zh-TW" w:eastAsia="zh-TW"/>
        </w:rPr>
        <w:t>应符合表</w:t>
      </w:r>
      <w:r>
        <w:rPr>
          <w:rFonts w:hint="eastAsia" w:ascii="Times New Roman" w:cs="Times New Roman"/>
          <w:lang w:val="en-US" w:eastAsia="zh-CN"/>
        </w:rPr>
        <w:t>2</w:t>
      </w:r>
      <w:r>
        <w:rPr>
          <w:rFonts w:hint="default" w:ascii="Times New Roman" w:hAnsi="Times New Roman" w:eastAsia="宋体" w:cs="Times New Roman"/>
          <w:lang w:val="zh-TW" w:eastAsia="zh-TW"/>
        </w:rPr>
        <w:t>的要求</w:t>
      </w:r>
      <w:r>
        <w:rPr>
          <w:rFonts w:hint="eastAsia" w:ascii="Times New Roman" w:cs="Times New Roman"/>
          <w:lang w:val="en-US" w:eastAsia="zh-CN"/>
        </w:rPr>
        <w:t>，</w:t>
      </w:r>
      <w:r>
        <w:rPr>
          <w:rFonts w:hint="default" w:ascii="Times New Roman" w:hAnsi="Times New Roman" w:eastAsia="宋体" w:cs="Times New Roman"/>
          <w:lang w:val="zh-TW" w:eastAsia="zh-TW"/>
        </w:rPr>
        <w:t>可选添加成分</w:t>
      </w:r>
      <w:r>
        <w:rPr>
          <w:rFonts w:hint="eastAsia" w:ascii="Times New Roman" w:cs="Times New Roman"/>
          <w:lang w:val="en-US" w:eastAsia="zh-CN"/>
        </w:rPr>
        <w:t>及每日使用量应符合表3的要求</w:t>
      </w:r>
      <w:r>
        <w:rPr>
          <w:rFonts w:hint="default" w:ascii="Times New Roman" w:hAnsi="Times New Roman" w:eastAsia="宋体"/>
          <w:lang w:val="zh-TW" w:eastAsia="zh-TW"/>
        </w:rPr>
        <w:t>。需要添加必须添加成分和不少于1种建议添加成分，其他建议添加成分和可选添加成分，可根据产品设计自行选择。</w:t>
      </w:r>
    </w:p>
    <w:p w14:paraId="35324F9B">
      <w:pPr>
        <w:pStyle w:val="19"/>
        <w:ind w:firstLine="422"/>
        <w:rPr>
          <w:rFonts w:hint="default" w:ascii="Times New Roman" w:hAnsi="Times New Roman" w:eastAsia="宋体"/>
          <w:b w:val="0"/>
          <w:bCs/>
          <w:color w:val="000000" w:themeColor="text1"/>
          <w:lang w:val="zh-TW" w:eastAsia="zh-CN"/>
          <w14:textFill>
            <w14:solidFill>
              <w14:schemeClr w14:val="tx1"/>
            </w14:solidFill>
          </w14:textFill>
        </w:rPr>
      </w:pPr>
      <w:r>
        <w:rPr>
          <w:rFonts w:hint="default" w:ascii="Times New Roman" w:hAnsi="Times New Roman" w:eastAsia="宋体"/>
          <w:b w:val="0"/>
          <w:bCs/>
          <w:color w:val="000000" w:themeColor="text1"/>
          <w:lang w:val="zh-TW" w:eastAsia="zh-TW"/>
          <w14:textFill>
            <w14:solidFill>
              <w14:schemeClr w14:val="tx1"/>
            </w14:solidFill>
          </w14:textFill>
        </w:rPr>
        <w:t>配方设计时宜碳水化合物</w:t>
      </w:r>
      <w:r>
        <w:rPr>
          <w:rFonts w:hint="eastAsia" w:ascii="Times New Roman" w:cs="Times New Roman"/>
          <w:b w:val="0"/>
          <w:bCs/>
          <w:color w:val="000000" w:themeColor="text1"/>
          <w:lang w:val="en-US" w:eastAsia="zh-CN"/>
          <w14:textFill>
            <w14:solidFill>
              <w14:schemeClr w14:val="tx1"/>
            </w14:solidFill>
          </w14:textFill>
        </w:rPr>
        <w:t>:</w:t>
      </w:r>
      <w:r>
        <w:rPr>
          <w:rFonts w:hint="default" w:ascii="Times New Roman" w:hAnsi="Times New Roman" w:eastAsia="宋体"/>
          <w:b w:val="0"/>
          <w:bCs/>
          <w:color w:val="000000" w:themeColor="text1"/>
          <w:lang w:val="zh-TW" w:eastAsia="zh-TW"/>
          <w14:textFill>
            <w14:solidFill>
              <w14:schemeClr w14:val="tx1"/>
            </w14:solidFill>
          </w14:textFill>
        </w:rPr>
        <w:t>蛋白质（碳蛋比）=2</w:t>
      </w:r>
      <w:r>
        <w:rPr>
          <w:rFonts w:hint="eastAsia" w:ascii="Times New Roman" w:cs="Times New Roman"/>
          <w:b w:val="0"/>
          <w:bCs/>
          <w:color w:val="000000" w:themeColor="text1"/>
          <w:lang w:val="en-US" w:eastAsia="zh-CN"/>
          <w14:textFill>
            <w14:solidFill>
              <w14:schemeClr w14:val="tx1"/>
            </w14:solidFill>
          </w14:textFill>
        </w:rPr>
        <w:t>:</w:t>
      </w:r>
      <w:r>
        <w:rPr>
          <w:rFonts w:hint="default" w:ascii="Times New Roman" w:hAnsi="Times New Roman" w:eastAsia="宋体"/>
          <w:b w:val="0"/>
          <w:bCs/>
          <w:color w:val="000000" w:themeColor="text1"/>
          <w:lang w:val="zh-TW" w:eastAsia="zh-TW"/>
          <w14:textFill>
            <w14:solidFill>
              <w14:schemeClr w14:val="tx1"/>
            </w14:solidFill>
          </w14:textFill>
        </w:rPr>
        <w:t>1</w:t>
      </w:r>
      <w:r>
        <w:rPr>
          <w:rFonts w:hint="eastAsia" w:ascii="Times New Roman" w:cs="Times New Roman"/>
          <w:b w:val="0"/>
          <w:bCs/>
          <w:color w:val="000000" w:themeColor="text1"/>
          <w:lang w:val="en-US" w:eastAsia="zh-CN"/>
          <w14:textFill>
            <w14:solidFill>
              <w14:schemeClr w14:val="tx1"/>
            </w14:solidFill>
          </w14:textFill>
        </w:rPr>
        <w:t>~</w:t>
      </w:r>
      <w:r>
        <w:rPr>
          <w:rFonts w:hint="default" w:ascii="Times New Roman" w:hAnsi="Times New Roman" w:eastAsia="宋体"/>
          <w:b w:val="0"/>
          <w:bCs/>
          <w:color w:val="000000" w:themeColor="text1"/>
          <w:lang w:val="zh-TW" w:eastAsia="zh-TW"/>
          <w14:textFill>
            <w14:solidFill>
              <w14:schemeClr w14:val="tx1"/>
            </w14:solidFill>
          </w14:textFill>
        </w:rPr>
        <w:t>4</w:t>
      </w:r>
      <w:r>
        <w:rPr>
          <w:rFonts w:hint="eastAsia" w:ascii="Times New Roman" w:cs="Times New Roman"/>
          <w:b w:val="0"/>
          <w:bCs/>
          <w:color w:val="000000" w:themeColor="text1"/>
          <w:lang w:val="en-US" w:eastAsia="zh-CN"/>
          <w14:textFill>
            <w14:solidFill>
              <w14:schemeClr w14:val="tx1"/>
            </w14:solidFill>
          </w14:textFill>
        </w:rPr>
        <w:t>:</w:t>
      </w:r>
      <w:r>
        <w:rPr>
          <w:rFonts w:hint="default" w:ascii="Times New Roman" w:hAnsi="Times New Roman" w:eastAsia="宋体"/>
          <w:b w:val="0"/>
          <w:bCs/>
          <w:color w:val="000000" w:themeColor="text1"/>
          <w:lang w:val="zh-TW" w:eastAsia="zh-TW"/>
          <w14:textFill>
            <w14:solidFill>
              <w14:schemeClr w14:val="tx1"/>
            </w14:solidFill>
          </w14:textFill>
        </w:rPr>
        <w:t>1</w:t>
      </w:r>
      <w:r>
        <w:rPr>
          <w:rFonts w:hint="default" w:ascii="Times New Roman" w:hAnsi="Times New Roman" w:eastAsia="宋体"/>
          <w:b w:val="0"/>
          <w:bCs/>
          <w:color w:val="000000" w:themeColor="text1"/>
          <w:lang w:val="zh-TW" w:eastAsia="zh-CN"/>
          <w14:textFill>
            <w14:solidFill>
              <w14:schemeClr w14:val="tx1"/>
            </w14:solidFill>
          </w14:textFill>
        </w:rPr>
        <w:t>。</w:t>
      </w:r>
    </w:p>
    <w:p w14:paraId="63668525">
      <w:pPr>
        <w:pStyle w:val="19"/>
        <w:autoSpaceDE/>
        <w:autoSpaceDN/>
        <w:spacing w:beforeLines="50" w:afterLines="50"/>
        <w:ind w:firstLine="0" w:firstLineChars="0"/>
        <w:jc w:val="center"/>
        <w:rPr>
          <w:rFonts w:hint="eastAsia" w:ascii="黑体" w:hAnsi="黑体" w:eastAsia="黑体" w:cs="黑体"/>
          <w:b w:val="0"/>
          <w:bCs/>
          <w:lang w:val="zh-TW" w:eastAsia="zh-TW"/>
        </w:rPr>
      </w:pPr>
    </w:p>
    <w:p w14:paraId="24CFD9C0">
      <w:pPr>
        <w:pStyle w:val="19"/>
        <w:autoSpaceDE/>
        <w:autoSpaceDN/>
        <w:spacing w:beforeLines="50" w:afterLines="50"/>
        <w:ind w:firstLine="0" w:firstLineChars="0"/>
        <w:jc w:val="center"/>
        <w:rPr>
          <w:rFonts w:hint="eastAsia" w:ascii="黑体" w:hAnsi="黑体" w:eastAsia="黑体" w:cs="黑体"/>
          <w:b w:val="0"/>
          <w:bCs/>
          <w:lang w:val="zh-TW" w:eastAsia="zh-TW"/>
        </w:rPr>
      </w:pPr>
      <w:r>
        <w:rPr>
          <w:rFonts w:hint="eastAsia" w:ascii="黑体" w:hAnsi="黑体" w:eastAsia="黑体" w:cs="黑体"/>
          <w:b w:val="0"/>
          <w:bCs/>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 xml:space="preserve">1 </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运动后恢复类运动营养食品</w:t>
      </w:r>
      <w:r>
        <w:rPr>
          <w:rFonts w:hint="eastAsia" w:ascii="黑体" w:hAnsi="黑体" w:eastAsia="黑体" w:cs="黑体"/>
          <w:b w:val="0"/>
          <w:bCs/>
          <w:lang w:val="en-US" w:eastAsia="zh-CN"/>
        </w:rPr>
        <w:t>必须</w:t>
      </w:r>
      <w:r>
        <w:rPr>
          <w:rFonts w:hint="eastAsia" w:ascii="黑体" w:hAnsi="黑体" w:eastAsia="黑体" w:cs="黑体"/>
          <w:b w:val="0"/>
          <w:bCs/>
          <w:lang w:val="zh-TW" w:eastAsia="zh-TW"/>
        </w:rPr>
        <w:t>添加成分</w:t>
      </w:r>
      <w:r>
        <w:rPr>
          <w:rFonts w:hint="eastAsia" w:ascii="黑体" w:hAnsi="黑体" w:eastAsia="黑体" w:cs="黑体"/>
          <w:b w:val="0"/>
          <w:bCs/>
          <w:lang w:val="en-US" w:eastAsia="zh-CN"/>
        </w:rPr>
        <w:t>和建议添加成分</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6"/>
        <w:gridCol w:w="2698"/>
        <w:gridCol w:w="3660"/>
      </w:tblGrid>
      <w:tr w14:paraId="05A0C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266" w:type="pct"/>
            <w:vMerge w:val="restart"/>
            <w:vAlign w:val="center"/>
          </w:tcPr>
          <w:p w14:paraId="28E996C1">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成分</w:t>
            </w:r>
          </w:p>
        </w:tc>
        <w:tc>
          <w:tcPr>
            <w:tcW w:w="3733" w:type="pct"/>
            <w:gridSpan w:val="2"/>
            <w:vAlign w:val="center"/>
          </w:tcPr>
          <w:p w14:paraId="2614C39B">
            <w:pPr>
              <w:pStyle w:val="19"/>
              <w:snapToGrid w:val="0"/>
              <w:ind w:firstLine="0" w:firstLineChars="0"/>
              <w:jc w:val="center"/>
              <w:rPr>
                <w:rFonts w:hint="default" w:ascii="Times New Roman" w:hAnsi="Times New Roman" w:eastAsia="宋体"/>
                <w:b/>
                <w:sz w:val="15"/>
                <w:szCs w:val="15"/>
                <w:lang w:val="zh-TW" w:eastAsia="zh-TW"/>
              </w:rPr>
            </w:pPr>
            <w:r>
              <w:rPr>
                <w:rFonts w:hint="eastAsia" w:ascii="Times New Roman" w:cs="Times New Roman"/>
                <w:b/>
                <w:sz w:val="15"/>
                <w:szCs w:val="15"/>
                <w:lang w:val="en-US" w:eastAsia="zh-CN"/>
              </w:rPr>
              <w:t>产品分</w:t>
            </w:r>
            <w:r>
              <w:rPr>
                <w:rFonts w:hint="default" w:ascii="Times New Roman" w:hAnsi="Times New Roman" w:eastAsia="宋体"/>
                <w:b/>
                <w:sz w:val="15"/>
                <w:szCs w:val="15"/>
                <w:lang w:val="zh-TW" w:eastAsia="zh-TW"/>
              </w:rPr>
              <w:t>类</w:t>
            </w:r>
          </w:p>
        </w:tc>
      </w:tr>
      <w:tr w14:paraId="3D52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266" w:type="pct"/>
            <w:vMerge w:val="continue"/>
            <w:vAlign w:val="center"/>
          </w:tcPr>
          <w:p w14:paraId="083D9CDB">
            <w:pPr>
              <w:pStyle w:val="19"/>
              <w:snapToGrid w:val="0"/>
              <w:ind w:firstLine="0" w:firstLineChars="0"/>
              <w:jc w:val="left"/>
              <w:rPr>
                <w:rFonts w:hint="default" w:ascii="Times New Roman" w:hAnsi="Times New Roman" w:eastAsia="宋体"/>
                <w:b w:val="0"/>
                <w:sz w:val="15"/>
                <w:szCs w:val="15"/>
                <w:lang w:val="zh-TW" w:eastAsia="zh-TW"/>
              </w:rPr>
            </w:pPr>
          </w:p>
        </w:tc>
        <w:tc>
          <w:tcPr>
            <w:tcW w:w="1584" w:type="pct"/>
            <w:vAlign w:val="center"/>
          </w:tcPr>
          <w:p w14:paraId="3EB722CC">
            <w:pPr>
              <w:pStyle w:val="19"/>
              <w:snapToGrid w:val="0"/>
              <w:ind w:firstLine="0" w:firstLineChars="0"/>
              <w:jc w:val="center"/>
              <w:rPr>
                <w:rFonts w:hint="eastAsia" w:ascii="Times New Roman" w:hAnsi="Times New Roman" w:eastAsia="宋体"/>
                <w:b/>
                <w:sz w:val="15"/>
                <w:szCs w:val="15"/>
                <w:lang w:val="en-US" w:eastAsia="zh-CN"/>
              </w:rPr>
            </w:pPr>
            <w:r>
              <w:rPr>
                <w:rFonts w:hint="default" w:ascii="Times New Roman" w:hAnsi="Times New Roman" w:eastAsia="宋体"/>
                <w:b/>
                <w:sz w:val="15"/>
                <w:szCs w:val="15"/>
                <w:lang w:val="zh-TW" w:eastAsia="zh-TW"/>
              </w:rPr>
              <w:t>体能恢复</w:t>
            </w:r>
            <w:r>
              <w:rPr>
                <w:rFonts w:hint="eastAsia" w:ascii="Times New Roman" w:cs="Times New Roman"/>
                <w:b/>
                <w:sz w:val="15"/>
                <w:szCs w:val="15"/>
                <w:lang w:val="en-US" w:eastAsia="zh-CN"/>
              </w:rPr>
              <w:t>类</w:t>
            </w:r>
          </w:p>
        </w:tc>
        <w:tc>
          <w:tcPr>
            <w:tcW w:w="2149" w:type="pct"/>
            <w:vAlign w:val="center"/>
          </w:tcPr>
          <w:p w14:paraId="12BED084">
            <w:pPr>
              <w:pStyle w:val="19"/>
              <w:snapToGrid w:val="0"/>
              <w:ind w:firstLine="0" w:firstLineChars="0"/>
              <w:jc w:val="center"/>
              <w:rPr>
                <w:rFonts w:hint="eastAsia" w:ascii="Times New Roman" w:hAnsi="Times New Roman" w:eastAsia="宋体"/>
                <w:b/>
                <w:sz w:val="15"/>
                <w:szCs w:val="15"/>
                <w:lang w:val="en-US" w:eastAsia="zh-CN"/>
              </w:rPr>
            </w:pPr>
            <w:r>
              <w:rPr>
                <w:rFonts w:hint="default" w:ascii="Times New Roman" w:hAnsi="Times New Roman" w:eastAsia="宋体"/>
                <w:b/>
                <w:sz w:val="15"/>
                <w:szCs w:val="15"/>
                <w:lang w:val="zh-TW" w:eastAsia="zh-TW"/>
              </w:rPr>
              <w:t>骨关节恢复</w:t>
            </w:r>
            <w:r>
              <w:rPr>
                <w:rFonts w:hint="eastAsia" w:ascii="Times New Roman" w:cs="Times New Roman"/>
                <w:b/>
                <w:sz w:val="15"/>
                <w:szCs w:val="15"/>
                <w:lang w:val="en-US" w:eastAsia="zh-CN"/>
              </w:rPr>
              <w:t>类</w:t>
            </w:r>
          </w:p>
        </w:tc>
      </w:tr>
      <w:tr w14:paraId="2854C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266" w:type="pct"/>
            <w:vAlign w:val="center"/>
          </w:tcPr>
          <w:p w14:paraId="7901B481">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b/>
                <w:sz w:val="15"/>
                <w:szCs w:val="15"/>
                <w:lang w:val="zh-TW" w:eastAsia="zh-TW"/>
              </w:rPr>
              <w:t>必须添加成分</w:t>
            </w:r>
          </w:p>
        </w:tc>
        <w:tc>
          <w:tcPr>
            <w:tcW w:w="1584" w:type="pct"/>
            <w:vAlign w:val="center"/>
          </w:tcPr>
          <w:p w14:paraId="5176B23F">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sz w:val="15"/>
                <w:szCs w:val="15"/>
                <w:lang w:val="zh-TW" w:eastAsia="zh-TW"/>
              </w:rPr>
              <w:t>肽类</w:t>
            </w:r>
          </w:p>
        </w:tc>
        <w:tc>
          <w:tcPr>
            <w:tcW w:w="2149" w:type="pct"/>
            <w:vAlign w:val="center"/>
          </w:tcPr>
          <w:p w14:paraId="51A0FE9E">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sz w:val="15"/>
                <w:szCs w:val="15"/>
                <w:lang w:val="zh-TW" w:eastAsia="zh-TW"/>
              </w:rPr>
              <w:t>胶原蛋白肽</w:t>
            </w:r>
          </w:p>
        </w:tc>
      </w:tr>
      <w:tr w14:paraId="58B59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266" w:type="pct"/>
            <w:vAlign w:val="center"/>
          </w:tcPr>
          <w:p w14:paraId="6FD484C6">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b/>
                <w:sz w:val="15"/>
                <w:szCs w:val="15"/>
                <w:lang w:val="zh-TW" w:eastAsia="zh-TW"/>
              </w:rPr>
              <w:t>建议添加成分</w:t>
            </w:r>
          </w:p>
        </w:tc>
        <w:tc>
          <w:tcPr>
            <w:tcW w:w="1584" w:type="pct"/>
            <w:vAlign w:val="center"/>
          </w:tcPr>
          <w:p w14:paraId="46F6A2C1">
            <w:pPr>
              <w:pStyle w:val="19"/>
              <w:snapToGrid w:val="0"/>
              <w:ind w:firstLine="0" w:firstLineChars="0"/>
              <w:jc w:val="left"/>
              <w:rPr>
                <w:rFonts w:hint="default" w:ascii="Times New Roman" w:hAnsi="Times New Roman" w:eastAsia="宋体"/>
                <w:i w:val="0"/>
                <w:iCs w:val="0"/>
                <w:sz w:val="15"/>
                <w:szCs w:val="15"/>
                <w:lang w:val="zh-TW" w:eastAsia="zh-TW"/>
              </w:rPr>
            </w:pPr>
            <w:r>
              <w:rPr>
                <w:rFonts w:hint="default" w:ascii="Times New Roman" w:hAnsi="Times New Roman" w:eastAsia="宋体"/>
                <w:i w:val="0"/>
                <w:iCs w:val="0"/>
                <w:sz w:val="15"/>
                <w:szCs w:val="15"/>
                <w:lang w:val="zh-TW" w:eastAsia="zh-TW"/>
              </w:rPr>
              <w:t>牛磺酸、β-羟基-β-甲基丁酸钙、谷氨酰胺、L-亮氨酸、L-异亮氨酸、L-缬氨酸</w:t>
            </w:r>
          </w:p>
        </w:tc>
        <w:tc>
          <w:tcPr>
            <w:tcW w:w="2149" w:type="pct"/>
            <w:vAlign w:val="center"/>
          </w:tcPr>
          <w:p w14:paraId="7ECEA5A5">
            <w:pPr>
              <w:pStyle w:val="19"/>
              <w:snapToGrid w:val="0"/>
              <w:ind w:firstLine="0" w:firstLineChars="0"/>
              <w:jc w:val="left"/>
              <w:rPr>
                <w:rFonts w:hint="default" w:ascii="Times New Roman" w:hAnsi="Times New Roman" w:eastAsia="宋体"/>
                <w:sz w:val="15"/>
                <w:szCs w:val="15"/>
                <w:lang w:val="zh-TW"/>
              </w:rPr>
            </w:pPr>
            <w:r>
              <w:rPr>
                <w:rFonts w:hint="default" w:ascii="Times New Roman"/>
                <w:sz w:val="15"/>
                <w:szCs w:val="15"/>
                <w:lang w:val="zh-TW" w:eastAsia="zh-TW"/>
              </w:rPr>
              <w:t>含Ⅱ型胶原蛋白软骨粉</w:t>
            </w:r>
            <w:r>
              <w:rPr>
                <w:rFonts w:hint="default" w:ascii="Times New Roman" w:hAnsi="Times New Roman" w:eastAsia="宋体"/>
                <w:sz w:val="15"/>
                <w:szCs w:val="15"/>
                <w:lang w:val="zh-TW" w:eastAsia="zh-TW"/>
              </w:rPr>
              <w:t>、维生素</w:t>
            </w:r>
            <w:r>
              <w:rPr>
                <w:rFonts w:hint="default" w:ascii="Times New Roman" w:hAnsi="Times New Roman" w:eastAsia="宋体"/>
                <w:sz w:val="15"/>
                <w:szCs w:val="15"/>
                <w:lang w:val="zh-TW"/>
              </w:rPr>
              <w:t>D、钙、镁</w:t>
            </w:r>
          </w:p>
        </w:tc>
      </w:tr>
    </w:tbl>
    <w:p w14:paraId="289FE66D">
      <w:pPr>
        <w:pStyle w:val="19"/>
        <w:ind w:firstLine="0" w:firstLineChars="0"/>
        <w:jc w:val="center"/>
        <w:rPr>
          <w:rFonts w:hint="default" w:ascii="Times New Roman" w:hAnsi="Times New Roman" w:eastAsia="宋体"/>
          <w:b/>
          <w:lang w:val="zh-TW" w:eastAsia="zh-TW"/>
        </w:rPr>
      </w:pPr>
    </w:p>
    <w:p w14:paraId="550B6EDE">
      <w:pPr>
        <w:pStyle w:val="19"/>
        <w:spacing w:beforeLines="50" w:afterLines="50"/>
        <w:ind w:firstLine="0" w:firstLineChars="0"/>
        <w:jc w:val="center"/>
        <w:rPr>
          <w:rFonts w:hint="eastAsia" w:ascii="黑体" w:hAnsi="黑体" w:eastAsia="黑体" w:cs="黑体"/>
          <w:b w:val="0"/>
          <w:bCs/>
          <w:lang w:val="zh-TW" w:eastAsia="zh-TW"/>
        </w:rPr>
      </w:pPr>
      <w:r>
        <w:rPr>
          <w:rFonts w:hint="eastAsia" w:ascii="黑体" w:hAnsi="黑体" w:eastAsia="黑体" w:cs="黑体"/>
          <w:b w:val="0"/>
          <w:bCs/>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 xml:space="preserve">2 </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运动后恢复类运动营养食品必须添加成分和建议添加成分的每日使用量</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8"/>
        <w:gridCol w:w="1996"/>
        <w:gridCol w:w="3660"/>
      </w:tblGrid>
      <w:tr w14:paraId="0CCA7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3D43D042">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成分</w:t>
            </w:r>
          </w:p>
        </w:tc>
        <w:tc>
          <w:tcPr>
            <w:tcW w:w="1172" w:type="pct"/>
            <w:vAlign w:val="center"/>
          </w:tcPr>
          <w:p w14:paraId="6D993742">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每日使用量</w:t>
            </w:r>
          </w:p>
        </w:tc>
        <w:tc>
          <w:tcPr>
            <w:tcW w:w="2149" w:type="pct"/>
            <w:vAlign w:val="center"/>
          </w:tcPr>
          <w:p w14:paraId="29E9E387">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参考检验方法</w:t>
            </w:r>
          </w:p>
        </w:tc>
      </w:tr>
      <w:tr w14:paraId="3B1DD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0E0DDFFE">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sz w:val="15"/>
                <w:szCs w:val="15"/>
                <w:lang w:val="zh-TW" w:eastAsia="zh-TW"/>
              </w:rPr>
              <w:t>肽类/g</w:t>
            </w:r>
          </w:p>
        </w:tc>
        <w:tc>
          <w:tcPr>
            <w:tcW w:w="1172" w:type="pct"/>
            <w:vAlign w:val="center"/>
          </w:tcPr>
          <w:p w14:paraId="4556C3AE">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sz w:val="15"/>
                <w:szCs w:val="15"/>
                <w:lang w:val="zh-TW" w:eastAsia="zh-TW"/>
              </w:rPr>
              <w:t>1</w:t>
            </w:r>
            <w:r>
              <w:rPr>
                <w:rFonts w:hint="eastAsia" w:ascii="Times New Roman" w:cs="Times New Roman"/>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6</w:t>
            </w:r>
          </w:p>
        </w:tc>
        <w:tc>
          <w:tcPr>
            <w:tcW w:w="2149" w:type="pct"/>
            <w:vAlign w:val="center"/>
          </w:tcPr>
          <w:p w14:paraId="2C9DC1BB">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sz w:val="15"/>
                <w:szCs w:val="15"/>
                <w:lang w:val="zh-TW" w:eastAsia="zh-TW"/>
              </w:rPr>
              <w:t>GB/T 22492</w:t>
            </w:r>
          </w:p>
        </w:tc>
      </w:tr>
      <w:tr w14:paraId="17D7A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4FA23510">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胶原蛋白肽/g</w:t>
            </w:r>
          </w:p>
        </w:tc>
        <w:tc>
          <w:tcPr>
            <w:tcW w:w="1172" w:type="pct"/>
            <w:vAlign w:val="center"/>
          </w:tcPr>
          <w:p w14:paraId="1CDA7F88">
            <w:pPr>
              <w:pStyle w:val="19"/>
              <w:snapToGrid w:val="0"/>
              <w:ind w:firstLine="0" w:firstLineChars="0"/>
              <w:jc w:val="left"/>
              <w:rPr>
                <w:rFonts w:hint="default" w:ascii="Times New Roman" w:hAnsi="Times New Roman" w:eastAsia="宋体"/>
                <w:sz w:val="15"/>
                <w:szCs w:val="15"/>
                <w:lang w:val="en-US" w:eastAsia="zh-CN"/>
              </w:rPr>
            </w:pPr>
            <w:r>
              <w:rPr>
                <w:rFonts w:hint="default" w:ascii="Times New Roman" w:hAnsi="Times New Roman" w:eastAsia="宋体"/>
                <w:sz w:val="15"/>
                <w:szCs w:val="15"/>
                <w:lang w:val="en-US" w:eastAsia="zh-CN"/>
              </w:rPr>
              <w:t>1</w:t>
            </w:r>
            <w:r>
              <w:rPr>
                <w:rFonts w:hint="eastAsia" w:ascii="Times New Roman" w:cs="Times New Roman"/>
                <w:sz w:val="15"/>
                <w:szCs w:val="15"/>
                <w:lang w:val="en-US" w:eastAsia="zh-CN"/>
              </w:rPr>
              <w:t>~</w:t>
            </w:r>
            <w:r>
              <w:rPr>
                <w:rFonts w:hint="default" w:ascii="Times New Roman" w:hAnsi="Times New Roman" w:eastAsia="宋体"/>
                <w:sz w:val="15"/>
                <w:szCs w:val="15"/>
                <w:lang w:val="en-US" w:eastAsia="zh-CN"/>
              </w:rPr>
              <w:t>6</w:t>
            </w:r>
          </w:p>
        </w:tc>
        <w:tc>
          <w:tcPr>
            <w:tcW w:w="2149" w:type="pct"/>
            <w:vAlign w:val="center"/>
          </w:tcPr>
          <w:p w14:paraId="055B3A49">
            <w:pPr>
              <w:pStyle w:val="19"/>
              <w:snapToGrid w:val="0"/>
              <w:ind w:firstLine="0" w:firstLineChars="0"/>
              <w:jc w:val="left"/>
              <w:rPr>
                <w:rFonts w:hint="default" w:ascii="Times New Roman" w:hAnsi="Times New Roman" w:eastAsia="宋体"/>
                <w:sz w:val="15"/>
                <w:szCs w:val="15"/>
                <w:lang w:val="en-US" w:eastAsia="zh-CN"/>
              </w:rPr>
            </w:pPr>
            <w:r>
              <w:rPr>
                <w:rFonts w:hint="default" w:ascii="Times New Roman" w:hAnsi="Times New Roman" w:eastAsia="宋体"/>
                <w:sz w:val="15"/>
                <w:szCs w:val="15"/>
                <w:lang w:val="en-US" w:eastAsia="zh-CN"/>
              </w:rPr>
              <w:t>-</w:t>
            </w:r>
          </w:p>
        </w:tc>
      </w:tr>
      <w:tr w14:paraId="51399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tcPr>
          <w:p w14:paraId="50D7E6F0">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牛磺酸/g</w:t>
            </w:r>
          </w:p>
        </w:tc>
        <w:tc>
          <w:tcPr>
            <w:tcW w:w="1172" w:type="pct"/>
          </w:tcPr>
          <w:p w14:paraId="05C378CE">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color w:val="000000" w:themeColor="text1"/>
                <w:sz w:val="15"/>
                <w:szCs w:val="15"/>
                <w:lang w:val="zh-TW" w:eastAsia="zh-TW"/>
                <w14:textFill>
                  <w14:solidFill>
                    <w14:schemeClr w14:val="tx1"/>
                  </w14:solidFill>
                </w14:textFill>
              </w:rPr>
              <w:t>0</w:t>
            </w:r>
            <w:r>
              <w:rPr>
                <w:rFonts w:hint="eastAsia" w:ascii="Times New Roman" w:cs="Times New Roman"/>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0.6</w:t>
            </w:r>
          </w:p>
        </w:tc>
        <w:tc>
          <w:tcPr>
            <w:tcW w:w="2149" w:type="pct"/>
          </w:tcPr>
          <w:p w14:paraId="36FE34BA">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5009.169</w:t>
            </w:r>
          </w:p>
        </w:tc>
      </w:tr>
      <w:tr w14:paraId="7B74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5C8CC0A1">
            <w:pPr>
              <w:pStyle w:val="19"/>
              <w:snapToGrid w:val="0"/>
              <w:ind w:firstLine="0" w:firstLineChars="0"/>
              <w:jc w:val="left"/>
              <w:rPr>
                <w:rFonts w:hint="default" w:ascii="Times New Roman" w:hAnsi="Times New Roman" w:eastAsia="宋体"/>
                <w:b w:val="0"/>
                <w:bCs/>
                <w:color w:val="000000" w:themeColor="text1"/>
                <w:sz w:val="15"/>
                <w:szCs w:val="15"/>
                <w:lang w:val="zh-TW" w:eastAsia="zh-TW"/>
                <w14:textFill>
                  <w14:solidFill>
                    <w14:schemeClr w14:val="tx1"/>
                  </w14:solidFill>
                </w14:textFill>
              </w:rPr>
            </w:pPr>
            <w:r>
              <w:rPr>
                <w:rFonts w:hint="default" w:ascii="Times New Roman" w:hAnsi="Times New Roman" w:eastAsia="宋体"/>
                <w:b w:val="0"/>
                <w:bCs/>
                <w:i w:val="0"/>
                <w:iCs w:val="0"/>
                <w:color w:val="000000" w:themeColor="text1"/>
                <w:sz w:val="15"/>
                <w:szCs w:val="15"/>
                <w:lang w:val="zh-TW" w:eastAsia="zh-TW"/>
                <w14:textFill>
                  <w14:solidFill>
                    <w14:schemeClr w14:val="tx1"/>
                  </w14:solidFill>
                </w14:textFill>
              </w:rPr>
              <w:t>β</w:t>
            </w:r>
            <w:r>
              <w:rPr>
                <w:rFonts w:hint="default" w:ascii="Times New Roman" w:hAnsi="Times New Roman" w:eastAsia="宋体"/>
                <w:b w:val="0"/>
                <w:bCs/>
                <w:color w:val="000000" w:themeColor="text1"/>
                <w:sz w:val="15"/>
                <w:szCs w:val="15"/>
                <w:lang w:val="zh-TW" w:eastAsia="zh-TW"/>
                <w14:textFill>
                  <w14:solidFill>
                    <w14:schemeClr w14:val="tx1"/>
                  </w14:solidFill>
                </w14:textFill>
              </w:rPr>
              <w:t>-羟基-</w:t>
            </w:r>
            <w:r>
              <w:rPr>
                <w:rFonts w:hint="default" w:ascii="Times New Roman" w:hAnsi="Times New Roman" w:eastAsia="宋体"/>
                <w:b w:val="0"/>
                <w:bCs/>
                <w:i w:val="0"/>
                <w:iCs w:val="0"/>
                <w:color w:val="000000" w:themeColor="text1"/>
                <w:sz w:val="15"/>
                <w:szCs w:val="15"/>
                <w:lang w:val="zh-TW" w:eastAsia="zh-TW"/>
                <w14:textFill>
                  <w14:solidFill>
                    <w14:schemeClr w14:val="tx1"/>
                  </w14:solidFill>
                </w14:textFill>
              </w:rPr>
              <w:t>β</w:t>
            </w:r>
            <w:r>
              <w:rPr>
                <w:rFonts w:hint="default" w:ascii="Times New Roman" w:hAnsi="Times New Roman" w:eastAsia="宋体"/>
                <w:b w:val="0"/>
                <w:bCs/>
                <w:color w:val="000000" w:themeColor="text1"/>
                <w:sz w:val="15"/>
                <w:szCs w:val="15"/>
                <w:lang w:val="zh-TW" w:eastAsia="zh-TW"/>
                <w14:textFill>
                  <w14:solidFill>
                    <w14:schemeClr w14:val="tx1"/>
                  </w14:solidFill>
                </w14:textFill>
              </w:rPr>
              <w:t>-甲基丁酸钙/g</w:t>
            </w:r>
          </w:p>
        </w:tc>
        <w:tc>
          <w:tcPr>
            <w:tcW w:w="1172" w:type="pct"/>
            <w:vAlign w:val="center"/>
          </w:tcPr>
          <w:p w14:paraId="1EC6C2DF">
            <w:pPr>
              <w:pStyle w:val="19"/>
              <w:snapToGrid w:val="0"/>
              <w:ind w:firstLine="0" w:firstLineChars="0"/>
              <w:jc w:val="left"/>
              <w:rPr>
                <w:rFonts w:hint="default" w:ascii="Times New Roman" w:hAnsi="Times New Roman" w:eastAsia="宋体"/>
                <w:b w:val="0"/>
                <w:bCs/>
                <w:color w:val="000000" w:themeColor="text1"/>
                <w:sz w:val="15"/>
                <w:szCs w:val="15"/>
                <w:lang w:val="zh-TW" w:eastAsia="zh-TW"/>
                <w14:textFill>
                  <w14:solidFill>
                    <w14:schemeClr w14:val="tx1"/>
                  </w14:solidFill>
                </w14:textFill>
              </w:rPr>
            </w:pPr>
            <w:r>
              <w:rPr>
                <w:rFonts w:hint="default" w:ascii="Times New Roman" w:hAnsi="Times New Roman" w:eastAsia="宋体"/>
                <w:b w:val="0"/>
                <w:bCs/>
                <w:color w:val="000000" w:themeColor="text1"/>
                <w:sz w:val="15"/>
                <w:szCs w:val="15"/>
                <w:lang w:val="zh-TW" w:eastAsia="zh-TW"/>
                <w14:textFill>
                  <w14:solidFill>
                    <w14:schemeClr w14:val="tx1"/>
                  </w14:solidFill>
                </w14:textFill>
              </w:rPr>
              <w:t>1</w:t>
            </w:r>
            <w:r>
              <w:rPr>
                <w:rFonts w:hint="eastAsia" w:ascii="Times New Roman" w:cs="Times New Roman"/>
                <w:b w:val="0"/>
                <w:bCs/>
                <w:color w:val="000000" w:themeColor="text1"/>
                <w:sz w:val="15"/>
                <w:szCs w:val="15"/>
                <w:lang w:val="zh-TW" w:eastAsia="zh-CN"/>
                <w14:textFill>
                  <w14:solidFill>
                    <w14:schemeClr w14:val="tx1"/>
                  </w14:solidFill>
                </w14:textFill>
              </w:rPr>
              <w:t>~</w:t>
            </w:r>
            <w:r>
              <w:rPr>
                <w:rFonts w:hint="default" w:ascii="Times New Roman" w:hAnsi="Times New Roman" w:eastAsia="宋体"/>
                <w:b w:val="0"/>
                <w:bCs/>
                <w:color w:val="000000" w:themeColor="text1"/>
                <w:sz w:val="15"/>
                <w:szCs w:val="15"/>
                <w:lang w:val="zh-TW" w:eastAsia="zh-TW"/>
                <w14:textFill>
                  <w14:solidFill>
                    <w14:schemeClr w14:val="tx1"/>
                  </w14:solidFill>
                </w14:textFill>
              </w:rPr>
              <w:t>6</w:t>
            </w:r>
          </w:p>
        </w:tc>
        <w:tc>
          <w:tcPr>
            <w:tcW w:w="2149" w:type="pct"/>
            <w:vAlign w:val="center"/>
          </w:tcPr>
          <w:p w14:paraId="4A2EAB72">
            <w:pPr>
              <w:pStyle w:val="19"/>
              <w:snapToGrid w:val="0"/>
              <w:ind w:firstLine="0" w:firstLineChars="0"/>
              <w:jc w:val="left"/>
              <w:rPr>
                <w:rFonts w:hint="default" w:ascii="Times New Roman" w:hAnsi="Times New Roman" w:eastAsia="宋体"/>
                <w:b w:val="0"/>
                <w:bCs/>
                <w:color w:val="000000" w:themeColor="text1"/>
                <w:sz w:val="15"/>
                <w:szCs w:val="15"/>
                <w:lang w:val="zh-TW" w:eastAsia="zh-TW"/>
                <w14:textFill>
                  <w14:solidFill>
                    <w14:schemeClr w14:val="tx1"/>
                  </w14:solidFill>
                </w14:textFill>
              </w:rPr>
            </w:pPr>
            <w:r>
              <w:rPr>
                <w:rFonts w:hint="default" w:ascii="Times New Roman" w:hAnsi="Times New Roman" w:eastAsia="宋体"/>
                <w:b w:val="0"/>
                <w:bCs/>
                <w:color w:val="000000" w:themeColor="text1"/>
                <w:sz w:val="15"/>
                <w:szCs w:val="15"/>
                <w:lang w:val="zh-TW"/>
                <w14:textFill>
                  <w14:solidFill>
                    <w14:schemeClr w14:val="tx1"/>
                  </w14:solidFill>
                </w14:textFill>
              </w:rPr>
              <w:t>-</w:t>
            </w:r>
          </w:p>
        </w:tc>
      </w:tr>
      <w:tr w14:paraId="73185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77381CC0">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sz w:val="15"/>
                <w:szCs w:val="15"/>
                <w:lang w:val="zh-TW" w:eastAsia="zh-TW"/>
              </w:rPr>
              <w:t>谷氨酰胺/g</w:t>
            </w:r>
          </w:p>
        </w:tc>
        <w:tc>
          <w:tcPr>
            <w:tcW w:w="1172" w:type="pct"/>
            <w:vAlign w:val="center"/>
          </w:tcPr>
          <w:p w14:paraId="3EB3E6DD">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sz w:val="15"/>
                <w:szCs w:val="15"/>
                <w:lang w:val="zh-TW" w:eastAsia="zh-TW"/>
              </w:rPr>
              <w:t>3.5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15.0</w:t>
            </w:r>
          </w:p>
        </w:tc>
        <w:tc>
          <w:tcPr>
            <w:tcW w:w="2149" w:type="pct"/>
            <w:vAlign w:val="center"/>
          </w:tcPr>
          <w:p w14:paraId="16AC8288">
            <w:pPr>
              <w:pStyle w:val="19"/>
              <w:snapToGrid w:val="0"/>
              <w:ind w:firstLine="0" w:firstLineChars="0"/>
              <w:jc w:val="left"/>
              <w:rPr>
                <w:rFonts w:hint="default" w:ascii="Times New Roman" w:hAnsi="Times New Roman" w:eastAsia="宋体"/>
                <w:b/>
                <w:color w:val="FF0000"/>
                <w:sz w:val="15"/>
                <w:szCs w:val="15"/>
                <w:lang w:val="zh-TW"/>
              </w:rPr>
            </w:pPr>
            <w:r>
              <w:rPr>
                <w:rFonts w:hint="default" w:ascii="Times New Roman" w:hAnsi="Times New Roman" w:eastAsia="宋体"/>
                <w:sz w:val="15"/>
                <w:szCs w:val="15"/>
                <w:lang w:val="zh-TW" w:eastAsia="zh-TW"/>
              </w:rPr>
              <w:t>-</w:t>
            </w:r>
          </w:p>
        </w:tc>
      </w:tr>
      <w:tr w14:paraId="5C899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4C7B6D23">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i w:val="0"/>
                <w:iCs w:val="0"/>
                <w:sz w:val="15"/>
                <w:szCs w:val="15"/>
                <w:lang w:val="zh-TW" w:eastAsia="zh-TW"/>
              </w:rPr>
              <w:t>L</w:t>
            </w:r>
            <w:r>
              <w:rPr>
                <w:rFonts w:hint="default" w:ascii="Times New Roman" w:hAnsi="Times New Roman" w:eastAsia="宋体"/>
                <w:sz w:val="15"/>
                <w:szCs w:val="15"/>
                <w:lang w:val="zh-TW" w:eastAsia="zh-TW"/>
              </w:rPr>
              <w:t>-亮氨酸/g</w:t>
            </w:r>
          </w:p>
        </w:tc>
        <w:tc>
          <w:tcPr>
            <w:tcW w:w="1172" w:type="pct"/>
            <w:vAlign w:val="center"/>
          </w:tcPr>
          <w:p w14:paraId="3616C1BE">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sz w:val="15"/>
                <w:szCs w:val="15"/>
                <w:lang w:val="zh-TW" w:eastAsia="zh-TW"/>
              </w:rPr>
              <w:t>1.5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3</w:t>
            </w:r>
          </w:p>
        </w:tc>
        <w:tc>
          <w:tcPr>
            <w:tcW w:w="2149" w:type="pct"/>
            <w:vAlign w:val="center"/>
          </w:tcPr>
          <w:p w14:paraId="22136154">
            <w:pPr>
              <w:pStyle w:val="19"/>
              <w:snapToGrid w:val="0"/>
              <w:ind w:firstLine="0" w:firstLineChars="0"/>
              <w:jc w:val="left"/>
              <w:rPr>
                <w:rFonts w:hint="default" w:ascii="Times New Roman" w:hAnsi="Times New Roman" w:eastAsia="宋体"/>
                <w:b/>
                <w:color w:val="FF0000"/>
                <w:sz w:val="15"/>
                <w:szCs w:val="15"/>
                <w:lang w:val="zh-TW"/>
              </w:rPr>
            </w:pPr>
            <w:r>
              <w:rPr>
                <w:rFonts w:hint="default" w:ascii="Times New Roman" w:hAnsi="Times New Roman" w:eastAsia="宋体"/>
                <w:sz w:val="15"/>
                <w:szCs w:val="15"/>
                <w:lang w:val="zh-TW" w:eastAsia="zh-TW"/>
              </w:rPr>
              <w:t>-</w:t>
            </w:r>
          </w:p>
        </w:tc>
      </w:tr>
      <w:tr w14:paraId="17F6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3B173747">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i w:val="0"/>
                <w:iCs w:val="0"/>
                <w:sz w:val="15"/>
                <w:szCs w:val="15"/>
                <w:lang w:val="zh-TW" w:eastAsia="zh-TW"/>
              </w:rPr>
              <w:t>L</w:t>
            </w:r>
            <w:r>
              <w:rPr>
                <w:rFonts w:hint="default" w:ascii="Times New Roman" w:hAnsi="Times New Roman" w:eastAsia="宋体"/>
                <w:sz w:val="15"/>
                <w:szCs w:val="15"/>
                <w:lang w:val="zh-TW" w:eastAsia="zh-TW"/>
              </w:rPr>
              <w:t>-异亮氨酸/g</w:t>
            </w:r>
          </w:p>
        </w:tc>
        <w:tc>
          <w:tcPr>
            <w:tcW w:w="1172" w:type="pct"/>
            <w:vAlign w:val="center"/>
          </w:tcPr>
          <w:p w14:paraId="04B07317">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sz w:val="15"/>
                <w:szCs w:val="15"/>
                <w:lang w:val="zh-TW" w:eastAsia="zh-TW"/>
              </w:rPr>
              <w:t>0.75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1.5</w:t>
            </w:r>
          </w:p>
        </w:tc>
        <w:tc>
          <w:tcPr>
            <w:tcW w:w="2149" w:type="pct"/>
            <w:vAlign w:val="center"/>
          </w:tcPr>
          <w:p w14:paraId="003BFA19">
            <w:pPr>
              <w:pStyle w:val="19"/>
              <w:snapToGrid w:val="0"/>
              <w:ind w:firstLine="0" w:firstLineChars="0"/>
              <w:jc w:val="left"/>
              <w:rPr>
                <w:rFonts w:hint="default" w:ascii="Times New Roman" w:hAnsi="Times New Roman" w:eastAsia="宋体"/>
                <w:b/>
                <w:color w:val="FF0000"/>
                <w:sz w:val="15"/>
                <w:szCs w:val="15"/>
                <w:lang w:val="zh-TW"/>
              </w:rPr>
            </w:pPr>
            <w:r>
              <w:rPr>
                <w:rFonts w:hint="default" w:ascii="Times New Roman" w:hAnsi="Times New Roman" w:eastAsia="宋体"/>
                <w:sz w:val="15"/>
                <w:szCs w:val="15"/>
                <w:lang w:val="zh-TW" w:eastAsia="zh-TW"/>
              </w:rPr>
              <w:t>-</w:t>
            </w:r>
          </w:p>
        </w:tc>
      </w:tr>
      <w:tr w14:paraId="24599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1E5C7B59">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i w:val="0"/>
                <w:iCs w:val="0"/>
                <w:sz w:val="15"/>
                <w:szCs w:val="15"/>
                <w:lang w:val="zh-TW" w:eastAsia="zh-TW"/>
              </w:rPr>
              <w:t>L</w:t>
            </w:r>
            <w:r>
              <w:rPr>
                <w:rFonts w:hint="default" w:ascii="Times New Roman" w:hAnsi="Times New Roman" w:eastAsia="宋体"/>
                <w:sz w:val="15"/>
                <w:szCs w:val="15"/>
                <w:lang w:val="zh-TW" w:eastAsia="zh-TW"/>
              </w:rPr>
              <w:t>-缬氨酸/g</w:t>
            </w:r>
          </w:p>
        </w:tc>
        <w:tc>
          <w:tcPr>
            <w:tcW w:w="1172" w:type="pct"/>
            <w:vAlign w:val="center"/>
          </w:tcPr>
          <w:p w14:paraId="5CF4D175">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sz w:val="15"/>
                <w:szCs w:val="15"/>
                <w:lang w:val="zh-TW" w:eastAsia="zh-TW"/>
              </w:rPr>
              <w:t>0.75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1.5</w:t>
            </w:r>
          </w:p>
        </w:tc>
        <w:tc>
          <w:tcPr>
            <w:tcW w:w="2149" w:type="pct"/>
            <w:vAlign w:val="center"/>
          </w:tcPr>
          <w:p w14:paraId="37146453">
            <w:pPr>
              <w:pStyle w:val="19"/>
              <w:snapToGrid w:val="0"/>
              <w:ind w:firstLine="0" w:firstLineChars="0"/>
              <w:jc w:val="left"/>
              <w:rPr>
                <w:rFonts w:hint="default" w:ascii="Times New Roman" w:hAnsi="Times New Roman" w:eastAsia="宋体"/>
                <w:b/>
                <w:color w:val="FF0000"/>
                <w:sz w:val="15"/>
                <w:szCs w:val="15"/>
                <w:lang w:val="zh-TW"/>
              </w:rPr>
            </w:pPr>
            <w:r>
              <w:rPr>
                <w:rFonts w:hint="default" w:ascii="Times New Roman" w:hAnsi="Times New Roman" w:eastAsia="宋体"/>
                <w:sz w:val="15"/>
                <w:szCs w:val="15"/>
                <w:lang w:val="zh-TW" w:eastAsia="zh-TW"/>
              </w:rPr>
              <w:t>-</w:t>
            </w:r>
          </w:p>
        </w:tc>
      </w:tr>
      <w:tr w14:paraId="6D369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34020702">
            <w:pPr>
              <w:pStyle w:val="19"/>
              <w:snapToGrid w:val="0"/>
              <w:ind w:firstLine="0" w:firstLineChars="0"/>
              <w:jc w:val="left"/>
              <w:rPr>
                <w:rFonts w:hint="default" w:ascii="Times New Roman" w:hAnsi="Times New Roman" w:eastAsia="宋体"/>
                <w:sz w:val="15"/>
                <w:szCs w:val="15"/>
                <w:lang w:val="en-US" w:eastAsia="zh-CN"/>
              </w:rPr>
            </w:pPr>
            <w:r>
              <w:rPr>
                <w:rFonts w:hint="default" w:ascii="Times New Roman"/>
                <w:sz w:val="15"/>
                <w:szCs w:val="15"/>
                <w:lang w:val="zh-TW" w:eastAsia="zh-TW"/>
              </w:rPr>
              <w:t>含Ⅱ型胶原蛋白软骨粉</w:t>
            </w:r>
            <w:r>
              <w:rPr>
                <w:rFonts w:hint="eastAsia" w:ascii="Times New Roman"/>
                <w:sz w:val="15"/>
                <w:szCs w:val="15"/>
                <w:lang w:val="en-US" w:eastAsia="zh-CN"/>
              </w:rPr>
              <w:t>/mg</w:t>
            </w:r>
          </w:p>
        </w:tc>
        <w:tc>
          <w:tcPr>
            <w:tcW w:w="1172" w:type="pct"/>
            <w:vAlign w:val="center"/>
          </w:tcPr>
          <w:p w14:paraId="72A67616">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sz w:val="15"/>
                <w:szCs w:val="15"/>
                <w:lang w:val="zh-TW" w:eastAsia="zh-TW"/>
              </w:rPr>
              <w:t>≥40</w:t>
            </w:r>
          </w:p>
        </w:tc>
        <w:tc>
          <w:tcPr>
            <w:tcW w:w="2149" w:type="pct"/>
            <w:vAlign w:val="center"/>
          </w:tcPr>
          <w:p w14:paraId="76B33F0D">
            <w:pPr>
              <w:pStyle w:val="19"/>
              <w:snapToGrid w:val="0"/>
              <w:ind w:firstLine="0" w:firstLineChars="0"/>
              <w:jc w:val="left"/>
              <w:rPr>
                <w:rFonts w:hint="eastAsia" w:ascii="Times New Roman" w:hAnsi="Times New Roman" w:eastAsia="宋体"/>
                <w:sz w:val="15"/>
                <w:szCs w:val="15"/>
                <w:lang w:val="en-US" w:eastAsia="zh-CN"/>
              </w:rPr>
            </w:pPr>
            <w:r>
              <w:rPr>
                <w:rFonts w:hint="eastAsia" w:ascii="Times New Roman"/>
                <w:sz w:val="15"/>
                <w:szCs w:val="15"/>
                <w:lang w:val="en-US" w:eastAsia="zh-CN"/>
              </w:rPr>
              <w:t>-</w:t>
            </w:r>
          </w:p>
        </w:tc>
      </w:tr>
      <w:tr w14:paraId="67DE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tcPr>
          <w:p w14:paraId="0B5BD764">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sz w:val="15"/>
                <w:szCs w:val="15"/>
                <w:lang w:val="zh-TW" w:eastAsia="zh-TW"/>
              </w:rPr>
              <w:t>维生素D/μg</w:t>
            </w:r>
          </w:p>
        </w:tc>
        <w:tc>
          <w:tcPr>
            <w:tcW w:w="1172" w:type="pct"/>
          </w:tcPr>
          <w:p w14:paraId="5D62CC73">
            <w:pPr>
              <w:pStyle w:val="19"/>
              <w:snapToGrid w:val="0"/>
              <w:ind w:firstLine="0" w:firstLineChars="0"/>
              <w:jc w:val="left"/>
              <w:rPr>
                <w:rFonts w:hint="default" w:ascii="Times New Roman" w:hAnsi="Times New Roman" w:eastAsia="宋体"/>
                <w:b/>
                <w:color w:val="FF0000"/>
                <w:sz w:val="15"/>
                <w:szCs w:val="15"/>
                <w:lang w:val="zh-TW" w:eastAsia="zh-TW"/>
              </w:rPr>
            </w:pPr>
            <w:r>
              <w:rPr>
                <w:rFonts w:hint="default" w:ascii="Times New Roman" w:hAnsi="Times New Roman" w:eastAsia="宋体"/>
                <w:color w:val="000000" w:themeColor="text1"/>
                <w:sz w:val="15"/>
                <w:szCs w:val="15"/>
                <w:lang w:val="zh-TW" w:eastAsia="zh-TW"/>
                <w14:textFill>
                  <w14:solidFill>
                    <w14:schemeClr w14:val="tx1"/>
                  </w14:solidFill>
                </w14:textFill>
              </w:rPr>
              <w:t>1.5</w:t>
            </w:r>
            <w:r>
              <w:rPr>
                <w:rFonts w:hint="eastAsia" w:ascii="Times New Roman" w:cs="Times New Roman"/>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10</w:t>
            </w:r>
          </w:p>
        </w:tc>
        <w:tc>
          <w:tcPr>
            <w:tcW w:w="2149" w:type="pct"/>
          </w:tcPr>
          <w:p w14:paraId="324A4FAA">
            <w:pPr>
              <w:pStyle w:val="19"/>
              <w:snapToGrid w:val="0"/>
              <w:ind w:firstLine="0" w:firstLineChars="0"/>
              <w:jc w:val="left"/>
              <w:rPr>
                <w:rFonts w:hint="default" w:ascii="Times New Roman" w:hAnsi="Times New Roman" w:eastAsia="宋体"/>
                <w:b/>
                <w:color w:val="FF0000"/>
                <w:sz w:val="15"/>
                <w:szCs w:val="15"/>
                <w:lang w:val="zh-TW"/>
              </w:rPr>
            </w:pPr>
            <w:r>
              <w:rPr>
                <w:rFonts w:hint="default" w:ascii="Times New Roman" w:hAnsi="Times New Roman" w:eastAsia="宋体"/>
                <w:sz w:val="15"/>
                <w:szCs w:val="15"/>
                <w:lang w:val="zh-TW" w:eastAsia="zh-TW"/>
              </w:rPr>
              <w:t>GB 5009.296</w:t>
            </w:r>
          </w:p>
        </w:tc>
      </w:tr>
      <w:tr w14:paraId="4857F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tcPr>
          <w:p w14:paraId="04124952">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sz w:val="15"/>
                <w:szCs w:val="15"/>
                <w:lang w:val="zh-TW" w:eastAsia="zh-TW"/>
              </w:rPr>
              <w:t>钙/mg</w:t>
            </w:r>
          </w:p>
        </w:tc>
        <w:tc>
          <w:tcPr>
            <w:tcW w:w="1172" w:type="pct"/>
          </w:tcPr>
          <w:p w14:paraId="4C9372AE">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color w:val="000000" w:themeColor="text1"/>
                <w:sz w:val="15"/>
                <w:szCs w:val="15"/>
                <w:lang w:val="zh-TW" w:eastAsia="zh-TW"/>
                <w14:textFill>
                  <w14:solidFill>
                    <w14:schemeClr w14:val="tx1"/>
                  </w14:solidFill>
                </w14:textFill>
              </w:rPr>
              <w:t>150</w:t>
            </w:r>
            <w:r>
              <w:rPr>
                <w:rFonts w:hint="eastAsia" w:ascii="Times New Roman" w:cs="Times New Roman"/>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800</w:t>
            </w:r>
          </w:p>
        </w:tc>
        <w:tc>
          <w:tcPr>
            <w:tcW w:w="2149" w:type="pct"/>
          </w:tcPr>
          <w:p w14:paraId="4FA35746">
            <w:pPr>
              <w:pStyle w:val="19"/>
              <w:snapToGrid w:val="0"/>
              <w:ind w:firstLine="0" w:firstLineChars="0"/>
              <w:jc w:val="left"/>
              <w:rPr>
                <w:rFonts w:hint="default" w:ascii="Times New Roman" w:hAnsi="Times New Roman" w:eastAsia="宋体"/>
                <w:b w:val="0"/>
                <w:sz w:val="15"/>
                <w:szCs w:val="15"/>
                <w:lang w:val="zh-TW" w:eastAsia="zh-TW"/>
              </w:rPr>
            </w:pPr>
            <w:r>
              <w:rPr>
                <w:rFonts w:hint="default" w:ascii="Times New Roman" w:hAnsi="Times New Roman" w:eastAsia="宋体"/>
                <w:sz w:val="15"/>
                <w:szCs w:val="15"/>
                <w:lang w:val="zh-TW" w:eastAsia="zh-TW"/>
              </w:rPr>
              <w:t>GB 5009.92</w:t>
            </w:r>
          </w:p>
        </w:tc>
      </w:tr>
      <w:tr w14:paraId="161D6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tcPr>
          <w:p w14:paraId="70C54345">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镁/mg</w:t>
            </w:r>
          </w:p>
        </w:tc>
        <w:tc>
          <w:tcPr>
            <w:tcW w:w="1172" w:type="pct"/>
          </w:tcPr>
          <w:p w14:paraId="5AB2B47D">
            <w:pPr>
              <w:pStyle w:val="19"/>
              <w:snapToGrid w:val="0"/>
              <w:ind w:firstLine="0" w:firstLineChars="0"/>
              <w:jc w:val="left"/>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53</w:t>
            </w:r>
            <w:r>
              <w:rPr>
                <w:rFonts w:hint="eastAsia" w:ascii="Times New Roman" w:cs="Times New Roman"/>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300</w:t>
            </w:r>
          </w:p>
        </w:tc>
        <w:tc>
          <w:tcPr>
            <w:tcW w:w="2149" w:type="pct"/>
          </w:tcPr>
          <w:p w14:paraId="14C2F428">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5009.241</w:t>
            </w:r>
          </w:p>
        </w:tc>
      </w:tr>
    </w:tbl>
    <w:p w14:paraId="7BB96571">
      <w:pPr>
        <w:pStyle w:val="19"/>
        <w:ind w:firstLine="0" w:firstLineChars="0"/>
        <w:jc w:val="center"/>
        <w:rPr>
          <w:rFonts w:hint="default" w:ascii="Times New Roman" w:hAnsi="Times New Roman" w:eastAsia="宋体"/>
          <w:b/>
          <w:lang w:val="zh-TW" w:eastAsia="zh-TW"/>
        </w:rPr>
      </w:pPr>
    </w:p>
    <w:p w14:paraId="1EAB8CBE">
      <w:pPr>
        <w:pStyle w:val="19"/>
        <w:spacing w:beforeLines="50" w:afterLines="50"/>
        <w:ind w:firstLine="0" w:firstLineChars="0"/>
        <w:jc w:val="center"/>
        <w:rPr>
          <w:rFonts w:hint="eastAsia" w:ascii="黑体" w:hAnsi="黑体" w:eastAsia="黑体" w:cs="黑体"/>
          <w:b w:val="0"/>
          <w:bCs/>
          <w:lang w:val="zh-TW" w:eastAsia="zh-TW"/>
        </w:rPr>
      </w:pPr>
      <w:r>
        <w:rPr>
          <w:rFonts w:hint="eastAsia" w:ascii="黑体" w:hAnsi="黑体" w:eastAsia="黑体" w:cs="黑体"/>
          <w:b w:val="0"/>
          <w:bCs/>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3</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 xml:space="preserve"> 运动后恢复类运动营养食品可选添加成分及每日使用量</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7"/>
        <w:gridCol w:w="1996"/>
        <w:gridCol w:w="3661"/>
      </w:tblGrid>
      <w:tr w14:paraId="309FF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1678" w:type="pct"/>
            <w:vAlign w:val="center"/>
          </w:tcPr>
          <w:p w14:paraId="54E16740">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可选添加成分</w:t>
            </w:r>
          </w:p>
        </w:tc>
        <w:tc>
          <w:tcPr>
            <w:tcW w:w="1172" w:type="pct"/>
            <w:vAlign w:val="center"/>
          </w:tcPr>
          <w:p w14:paraId="6642ED8C">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每日使用量</w:t>
            </w:r>
          </w:p>
        </w:tc>
        <w:tc>
          <w:tcPr>
            <w:tcW w:w="2149" w:type="pct"/>
            <w:vAlign w:val="center"/>
          </w:tcPr>
          <w:p w14:paraId="07FFB2ED">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参考检验方法</w:t>
            </w:r>
          </w:p>
        </w:tc>
      </w:tr>
      <w:tr w14:paraId="0910C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4AFCAB0B">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维生素A/μg</w:t>
            </w:r>
          </w:p>
        </w:tc>
        <w:tc>
          <w:tcPr>
            <w:tcW w:w="1172" w:type="pct"/>
          </w:tcPr>
          <w:p w14:paraId="5A3AA4E7">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120</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375</w:t>
            </w:r>
          </w:p>
        </w:tc>
        <w:tc>
          <w:tcPr>
            <w:tcW w:w="2149" w:type="pct"/>
          </w:tcPr>
          <w:p w14:paraId="16D51EF1">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5009.82</w:t>
            </w:r>
          </w:p>
        </w:tc>
      </w:tr>
      <w:tr w14:paraId="2EDB5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4303C1B1">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维生素E/(mg α-TE)</w:t>
            </w:r>
          </w:p>
        </w:tc>
        <w:tc>
          <w:tcPr>
            <w:tcW w:w="1172" w:type="pct"/>
          </w:tcPr>
          <w:p w14:paraId="022A732E">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2.1</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20</w:t>
            </w:r>
          </w:p>
        </w:tc>
        <w:tc>
          <w:tcPr>
            <w:tcW w:w="2149" w:type="pct"/>
          </w:tcPr>
          <w:p w14:paraId="319150F4">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5009.82</w:t>
            </w:r>
          </w:p>
        </w:tc>
      </w:tr>
      <w:tr w14:paraId="4DEE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13FC66CB">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维生素B</w:t>
            </w:r>
            <w:r>
              <w:rPr>
                <w:rFonts w:hint="default" w:ascii="Times New Roman" w:hAnsi="Times New Roman" w:eastAsia="宋体"/>
                <w:sz w:val="15"/>
                <w:szCs w:val="15"/>
                <w:vertAlign w:val="subscript"/>
                <w:lang w:val="zh-TW" w:eastAsia="zh-TW"/>
              </w:rPr>
              <w:t>1</w:t>
            </w:r>
            <w:r>
              <w:rPr>
                <w:rFonts w:hint="default" w:ascii="Times New Roman" w:hAnsi="Times New Roman" w:eastAsia="宋体"/>
                <w:sz w:val="15"/>
                <w:szCs w:val="15"/>
                <w:lang w:val="zh-TW" w:eastAsia="zh-TW"/>
              </w:rPr>
              <w:t>/mg</w:t>
            </w:r>
          </w:p>
        </w:tc>
        <w:tc>
          <w:tcPr>
            <w:tcW w:w="1172" w:type="pct"/>
          </w:tcPr>
          <w:p w14:paraId="55002BDF">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0.2</w:t>
            </w:r>
            <w:r>
              <w:rPr>
                <w:rFonts w:hint="eastAsia" w:ascii="Times New Roman" w:cs="Times New Roman"/>
                <w:sz w:val="15"/>
                <w:szCs w:val="15"/>
                <w:lang w:val="zh-TW" w:eastAsia="zh-CN"/>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4</w:t>
            </w:r>
          </w:p>
        </w:tc>
        <w:tc>
          <w:tcPr>
            <w:tcW w:w="2149" w:type="pct"/>
          </w:tcPr>
          <w:p w14:paraId="029FF7B6">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5009.84</w:t>
            </w:r>
          </w:p>
        </w:tc>
      </w:tr>
      <w:tr w14:paraId="73CE7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70450EEB">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维生素B</w:t>
            </w:r>
            <w:r>
              <w:rPr>
                <w:rFonts w:hint="default" w:ascii="Times New Roman" w:hAnsi="Times New Roman" w:eastAsia="宋体"/>
                <w:sz w:val="15"/>
                <w:szCs w:val="15"/>
                <w:vertAlign w:val="subscript"/>
                <w:lang w:val="zh-TW" w:eastAsia="zh-TW"/>
              </w:rPr>
              <w:t>2</w:t>
            </w:r>
            <w:r>
              <w:rPr>
                <w:rFonts w:hint="default" w:ascii="Times New Roman" w:hAnsi="Times New Roman" w:eastAsia="宋体"/>
                <w:sz w:val="15"/>
                <w:szCs w:val="15"/>
                <w:lang w:val="zh-TW" w:eastAsia="zh-TW"/>
              </w:rPr>
              <w:t>/mg</w:t>
            </w:r>
          </w:p>
        </w:tc>
        <w:tc>
          <w:tcPr>
            <w:tcW w:w="1172" w:type="pct"/>
          </w:tcPr>
          <w:p w14:paraId="245A30BA">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0.2</w:t>
            </w:r>
            <w:r>
              <w:rPr>
                <w:rFonts w:hint="eastAsia" w:ascii="Times New Roman" w:cs="Times New Roman"/>
                <w:sz w:val="15"/>
                <w:szCs w:val="15"/>
                <w:lang w:val="zh-TW" w:eastAsia="zh-CN"/>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2</w:t>
            </w:r>
          </w:p>
        </w:tc>
        <w:tc>
          <w:tcPr>
            <w:tcW w:w="2149" w:type="pct"/>
          </w:tcPr>
          <w:p w14:paraId="330C2404">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5009.85</w:t>
            </w:r>
          </w:p>
        </w:tc>
      </w:tr>
      <w:tr w14:paraId="0BD05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6156F57A">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维生素B</w:t>
            </w:r>
            <w:r>
              <w:rPr>
                <w:rFonts w:hint="default" w:ascii="Times New Roman" w:hAnsi="Times New Roman" w:eastAsia="宋体"/>
                <w:sz w:val="15"/>
                <w:szCs w:val="15"/>
                <w:vertAlign w:val="subscript"/>
                <w:lang w:val="zh-TW" w:eastAsia="zh-TW"/>
              </w:rPr>
              <w:t>6</w:t>
            </w:r>
            <w:r>
              <w:rPr>
                <w:rFonts w:hint="default" w:ascii="Times New Roman" w:hAnsi="Times New Roman" w:eastAsia="宋体"/>
                <w:sz w:val="15"/>
                <w:szCs w:val="15"/>
                <w:lang w:val="zh-TW" w:eastAsia="zh-TW"/>
              </w:rPr>
              <w:t>/mg</w:t>
            </w:r>
          </w:p>
        </w:tc>
        <w:tc>
          <w:tcPr>
            <w:tcW w:w="1172" w:type="pct"/>
          </w:tcPr>
          <w:p w14:paraId="601445ED">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0.2</w:t>
            </w:r>
            <w:r>
              <w:rPr>
                <w:rFonts w:hint="eastAsia" w:ascii="Times New Roman" w:cs="Times New Roman"/>
                <w:sz w:val="15"/>
                <w:szCs w:val="15"/>
                <w:lang w:val="zh-TW" w:eastAsia="zh-CN"/>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2</w:t>
            </w:r>
          </w:p>
        </w:tc>
        <w:tc>
          <w:tcPr>
            <w:tcW w:w="2149" w:type="pct"/>
          </w:tcPr>
          <w:p w14:paraId="04CB7190">
            <w:pPr>
              <w:pStyle w:val="19"/>
              <w:snapToGrid w:val="0"/>
              <w:ind w:firstLine="0" w:firstLineChars="0"/>
              <w:rPr>
                <w:rFonts w:hint="default" w:ascii="Times New Roman" w:hAnsi="Times New Roman" w:eastAsia="宋体"/>
                <w:sz w:val="15"/>
                <w:szCs w:val="15"/>
                <w:lang w:val="zh-TW" w:eastAsia="zh-TW"/>
              </w:rPr>
            </w:pPr>
            <w:bookmarkStart w:id="1" w:name="_Hlk192494110"/>
            <w:r>
              <w:rPr>
                <w:rFonts w:hint="default" w:ascii="Times New Roman" w:hAnsi="Times New Roman" w:eastAsia="宋体"/>
                <w:sz w:val="15"/>
                <w:szCs w:val="15"/>
                <w:lang w:val="zh-TW" w:eastAsia="zh-TW"/>
              </w:rPr>
              <w:t>GB 5009.154</w:t>
            </w:r>
            <w:bookmarkEnd w:id="1"/>
          </w:p>
        </w:tc>
      </w:tr>
      <w:tr w14:paraId="28E4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15712D64">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维生素B</w:t>
            </w:r>
            <w:r>
              <w:rPr>
                <w:rFonts w:hint="default" w:ascii="Times New Roman" w:hAnsi="Times New Roman" w:eastAsia="宋体"/>
                <w:sz w:val="15"/>
                <w:szCs w:val="15"/>
                <w:vertAlign w:val="subscript"/>
                <w:lang w:val="zh-TW" w:eastAsia="zh-TW"/>
              </w:rPr>
              <w:t>12</w:t>
            </w:r>
            <w:r>
              <w:rPr>
                <w:rFonts w:hint="default" w:ascii="Times New Roman" w:hAnsi="Times New Roman" w:eastAsia="宋体"/>
                <w:sz w:val="15"/>
                <w:szCs w:val="15"/>
                <w:lang w:val="zh-TW" w:eastAsia="zh-TW"/>
              </w:rPr>
              <w:t>/μg</w:t>
            </w:r>
          </w:p>
        </w:tc>
        <w:tc>
          <w:tcPr>
            <w:tcW w:w="1172" w:type="pct"/>
          </w:tcPr>
          <w:p w14:paraId="31E720A2">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0.4</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4</w:t>
            </w:r>
          </w:p>
        </w:tc>
        <w:tc>
          <w:tcPr>
            <w:tcW w:w="2149" w:type="pct"/>
          </w:tcPr>
          <w:p w14:paraId="0ADBAF63">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5009.285</w:t>
            </w:r>
          </w:p>
        </w:tc>
      </w:tr>
      <w:tr w14:paraId="098B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7757FF64">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维生素C/mg</w:t>
            </w:r>
          </w:p>
        </w:tc>
        <w:tc>
          <w:tcPr>
            <w:tcW w:w="1172" w:type="pct"/>
          </w:tcPr>
          <w:p w14:paraId="05ED8742">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100</w:t>
            </w:r>
          </w:p>
        </w:tc>
        <w:tc>
          <w:tcPr>
            <w:tcW w:w="2149" w:type="pct"/>
          </w:tcPr>
          <w:p w14:paraId="046AA00F">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5413.18</w:t>
            </w:r>
          </w:p>
        </w:tc>
      </w:tr>
      <w:tr w14:paraId="75344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24D22D9F">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叶酸/μg</w:t>
            </w:r>
          </w:p>
        </w:tc>
        <w:tc>
          <w:tcPr>
            <w:tcW w:w="1172" w:type="pct"/>
          </w:tcPr>
          <w:p w14:paraId="2E2D05DA">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60</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260</w:t>
            </w:r>
          </w:p>
        </w:tc>
        <w:tc>
          <w:tcPr>
            <w:tcW w:w="2149" w:type="pct"/>
          </w:tcPr>
          <w:p w14:paraId="104654EA">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5009.211</w:t>
            </w:r>
          </w:p>
        </w:tc>
      </w:tr>
      <w:tr w14:paraId="643CF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51F21E76">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烟酸/mg</w:t>
            </w:r>
          </w:p>
        </w:tc>
        <w:tc>
          <w:tcPr>
            <w:tcW w:w="1172" w:type="pct"/>
          </w:tcPr>
          <w:p w14:paraId="5087699C">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2.1</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20</w:t>
            </w:r>
          </w:p>
        </w:tc>
        <w:tc>
          <w:tcPr>
            <w:tcW w:w="2149" w:type="pct"/>
          </w:tcPr>
          <w:p w14:paraId="75EB7038">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5009.89</w:t>
            </w:r>
          </w:p>
        </w:tc>
      </w:tr>
      <w:tr w14:paraId="36F5B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11AE5125">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生物素/μg</w:t>
            </w:r>
          </w:p>
        </w:tc>
        <w:tc>
          <w:tcPr>
            <w:tcW w:w="1172" w:type="pct"/>
          </w:tcPr>
          <w:p w14:paraId="676BB9A0">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4.5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50</w:t>
            </w:r>
          </w:p>
        </w:tc>
        <w:tc>
          <w:tcPr>
            <w:tcW w:w="2149" w:type="pct"/>
          </w:tcPr>
          <w:p w14:paraId="2ABD3061">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5009.259</w:t>
            </w:r>
          </w:p>
        </w:tc>
      </w:tr>
      <w:tr w14:paraId="7AE3A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51D14FD9">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泛酸/mg</w:t>
            </w:r>
          </w:p>
        </w:tc>
        <w:tc>
          <w:tcPr>
            <w:tcW w:w="1172" w:type="pct"/>
          </w:tcPr>
          <w:p w14:paraId="65F11BDC">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0.8</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7</w:t>
            </w:r>
          </w:p>
        </w:tc>
        <w:tc>
          <w:tcPr>
            <w:tcW w:w="2149" w:type="pct"/>
          </w:tcPr>
          <w:p w14:paraId="6DC6B391">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5009.210</w:t>
            </w:r>
          </w:p>
        </w:tc>
      </w:tr>
      <w:tr w14:paraId="7578A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2EC03695">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钠/mg</w:t>
            </w:r>
          </w:p>
        </w:tc>
        <w:tc>
          <w:tcPr>
            <w:tcW w:w="1172" w:type="pct"/>
          </w:tcPr>
          <w:p w14:paraId="1EFAB51E">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700</w:t>
            </w: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w:t>
            </w:r>
            <w:r>
              <w:rPr>
                <w:rFonts w:hint="eastAsia" w:ascii="Times New Roman" w:cs="Times New Roman"/>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1600</w:t>
            </w:r>
          </w:p>
        </w:tc>
        <w:tc>
          <w:tcPr>
            <w:tcW w:w="2149" w:type="pct"/>
          </w:tcPr>
          <w:p w14:paraId="13030237">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5009.91</w:t>
            </w:r>
          </w:p>
        </w:tc>
      </w:tr>
      <w:tr w14:paraId="063AE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0C3F1205">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钾/mg</w:t>
            </w:r>
          </w:p>
        </w:tc>
        <w:tc>
          <w:tcPr>
            <w:tcW w:w="1172" w:type="pct"/>
          </w:tcPr>
          <w:p w14:paraId="6AA2F4F9">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sz w:val="15"/>
                <w:szCs w:val="15"/>
                <w:lang w:val="zh-TW" w:eastAsia="zh-TW"/>
              </w:rPr>
              <w:t>300</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2000</w:t>
            </w:r>
          </w:p>
        </w:tc>
        <w:tc>
          <w:tcPr>
            <w:tcW w:w="2149" w:type="pct"/>
          </w:tcPr>
          <w:p w14:paraId="089CE647">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5009.91</w:t>
            </w:r>
          </w:p>
        </w:tc>
      </w:tr>
      <w:tr w14:paraId="367E2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32BBABE1">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铁/mg</w:t>
            </w:r>
          </w:p>
        </w:tc>
        <w:tc>
          <w:tcPr>
            <w:tcW w:w="1172" w:type="pct"/>
          </w:tcPr>
          <w:p w14:paraId="64BDA2F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2.3</w:t>
            </w:r>
            <w:r>
              <w:rPr>
                <w:rFonts w:hint="eastAsia" w:ascii="Times New Roman" w:cs="Times New Roman"/>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14</w:t>
            </w:r>
          </w:p>
        </w:tc>
        <w:tc>
          <w:tcPr>
            <w:tcW w:w="2149" w:type="pct"/>
          </w:tcPr>
          <w:p w14:paraId="5A20C6F9">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5009.90</w:t>
            </w:r>
          </w:p>
        </w:tc>
      </w:tr>
      <w:tr w14:paraId="454FE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4A220B4E">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锌/mg</w:t>
            </w:r>
          </w:p>
        </w:tc>
        <w:tc>
          <w:tcPr>
            <w:tcW w:w="1172" w:type="pct"/>
          </w:tcPr>
          <w:p w14:paraId="1718809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1.7</w:t>
            </w:r>
            <w:r>
              <w:rPr>
                <w:rFonts w:hint="eastAsia" w:ascii="Times New Roman" w:cs="Times New Roman"/>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12</w:t>
            </w:r>
          </w:p>
        </w:tc>
        <w:tc>
          <w:tcPr>
            <w:tcW w:w="2149" w:type="pct"/>
          </w:tcPr>
          <w:p w14:paraId="2208C3E5">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5009.14</w:t>
            </w:r>
          </w:p>
        </w:tc>
      </w:tr>
      <w:tr w14:paraId="17147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261C443F">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硒/μg</w:t>
            </w:r>
          </w:p>
        </w:tc>
        <w:tc>
          <w:tcPr>
            <w:tcW w:w="1172" w:type="pct"/>
          </w:tcPr>
          <w:p w14:paraId="2572E2DB">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7.5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52</w:t>
            </w:r>
          </w:p>
        </w:tc>
        <w:tc>
          <w:tcPr>
            <w:tcW w:w="2149" w:type="pct"/>
          </w:tcPr>
          <w:p w14:paraId="4375BE5B">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5009.93</w:t>
            </w:r>
          </w:p>
        </w:tc>
      </w:tr>
      <w:tr w14:paraId="0BC5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00856D9E">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铜/mg</w:t>
            </w:r>
          </w:p>
        </w:tc>
        <w:tc>
          <w:tcPr>
            <w:tcW w:w="1172" w:type="pct"/>
          </w:tcPr>
          <w:p w14:paraId="19CAF30F">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0.3</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1.5</w:t>
            </w:r>
          </w:p>
        </w:tc>
        <w:tc>
          <w:tcPr>
            <w:tcW w:w="2149" w:type="pct"/>
          </w:tcPr>
          <w:p w14:paraId="19DB43D2">
            <w:pPr>
              <w:pStyle w:val="19"/>
              <w:snapToGrid w:val="0"/>
              <w:ind w:firstLine="0" w:firstLineChars="0"/>
              <w:rPr>
                <w:rFonts w:hint="default" w:ascii="Times New Roman" w:hAnsi="Times New Roman" w:eastAsia="宋体"/>
                <w:sz w:val="15"/>
                <w:szCs w:val="15"/>
                <w:lang w:val="zh-TW" w:eastAsia="zh-TW"/>
              </w:rPr>
            </w:pPr>
            <w:bookmarkStart w:id="2" w:name="_Hlk192495922"/>
            <w:r>
              <w:rPr>
                <w:rFonts w:hint="default" w:ascii="Times New Roman" w:hAnsi="Times New Roman" w:eastAsia="宋体"/>
                <w:sz w:val="15"/>
                <w:szCs w:val="15"/>
                <w:lang w:val="zh-TW" w:eastAsia="zh-TW"/>
              </w:rPr>
              <w:t>GB 5009.13</w:t>
            </w:r>
            <w:bookmarkEnd w:id="2"/>
          </w:p>
        </w:tc>
      </w:tr>
      <w:tr w14:paraId="142E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4595B60B">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碘/μg</w:t>
            </w:r>
          </w:p>
        </w:tc>
        <w:tc>
          <w:tcPr>
            <w:tcW w:w="1172" w:type="pct"/>
          </w:tcPr>
          <w:p w14:paraId="1B758C14">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22.5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75</w:t>
            </w:r>
          </w:p>
        </w:tc>
        <w:tc>
          <w:tcPr>
            <w:tcW w:w="2149" w:type="pct"/>
          </w:tcPr>
          <w:p w14:paraId="078BAB11">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5009.267</w:t>
            </w:r>
          </w:p>
        </w:tc>
      </w:tr>
      <w:tr w14:paraId="5725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26BF21AE">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锰/mg</w:t>
            </w:r>
          </w:p>
        </w:tc>
        <w:tc>
          <w:tcPr>
            <w:tcW w:w="1172" w:type="pct"/>
          </w:tcPr>
          <w:p w14:paraId="0D7BCC3B">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0.5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2.5</w:t>
            </w:r>
          </w:p>
        </w:tc>
        <w:tc>
          <w:tcPr>
            <w:tcW w:w="2149" w:type="pct"/>
          </w:tcPr>
          <w:p w14:paraId="6156B9DD">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5009.242</w:t>
            </w:r>
          </w:p>
        </w:tc>
      </w:tr>
      <w:tr w14:paraId="3438E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7743F3AC">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磷/mg</w:t>
            </w:r>
          </w:p>
        </w:tc>
        <w:tc>
          <w:tcPr>
            <w:tcW w:w="1172" w:type="pct"/>
          </w:tcPr>
          <w:p w14:paraId="04E80F44">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105</w:t>
            </w:r>
            <w:r>
              <w:rPr>
                <w:rFonts w:hint="eastAsia" w:ascii="Times New Roman" w:cs="Times New Roman"/>
                <w:sz w:val="15"/>
                <w:szCs w:val="15"/>
                <w:lang w:val="zh-TW" w:eastAsia="zh-CN"/>
              </w:rPr>
              <w:t>~</w:t>
            </w:r>
            <w:r>
              <w:rPr>
                <w:rFonts w:hint="default" w:ascii="Times New Roman" w:hAnsi="Times New Roman" w:eastAsia="宋体"/>
                <w:sz w:val="15"/>
                <w:szCs w:val="15"/>
                <w:lang w:val="zh-TW" w:eastAsia="zh-TW"/>
              </w:rPr>
              <w:t>1000</w:t>
            </w:r>
          </w:p>
        </w:tc>
        <w:tc>
          <w:tcPr>
            <w:tcW w:w="2149" w:type="pct"/>
          </w:tcPr>
          <w:p w14:paraId="559E47E4">
            <w:pPr>
              <w:pStyle w:val="19"/>
              <w:snapToGrid w:val="0"/>
              <w:ind w:firstLine="0" w:firstLineChars="0"/>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5009.87</w:t>
            </w:r>
          </w:p>
        </w:tc>
      </w:tr>
      <w:tr w14:paraId="2F680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1E16DA78">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钼/μg</w:t>
            </w:r>
          </w:p>
        </w:tc>
        <w:tc>
          <w:tcPr>
            <w:tcW w:w="1172" w:type="pct"/>
          </w:tcPr>
          <w:p w14:paraId="6DC7FCDE">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80</w:t>
            </w:r>
            <w:r>
              <w:rPr>
                <w:rFonts w:hint="eastAsia" w:ascii="Times New Roman" w:cs="Times New Roman"/>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125</w:t>
            </w:r>
          </w:p>
        </w:tc>
        <w:tc>
          <w:tcPr>
            <w:tcW w:w="2149" w:type="pct"/>
          </w:tcPr>
          <w:p w14:paraId="2C3CB13C">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bookmarkStart w:id="3" w:name="_Hlk192496212"/>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5009.268</w:t>
            </w:r>
            <w:bookmarkEnd w:id="3"/>
            <w:r>
              <w:rPr>
                <w:rFonts w:hint="default" w:ascii="Times New Roman" w:hAnsi="Times New Roman" w:eastAsia="宋体"/>
                <w:b w:val="0"/>
                <w:bCs w:val="0"/>
                <w:color w:val="000000" w:themeColor="text1"/>
                <w:sz w:val="15"/>
                <w:szCs w:val="15"/>
                <w:lang w:val="zh-TW" w:eastAsia="zh-TW"/>
                <w14:textFill>
                  <w14:solidFill>
                    <w14:schemeClr w14:val="tx1"/>
                  </w14:solidFill>
                </w14:textFill>
              </w:rPr>
              <w:t>，或 GB 5009.297</w:t>
            </w:r>
          </w:p>
        </w:tc>
      </w:tr>
      <w:tr w14:paraId="14376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70F936ED">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铬/μg</w:t>
            </w:r>
          </w:p>
        </w:tc>
        <w:tc>
          <w:tcPr>
            <w:tcW w:w="1172" w:type="pct"/>
          </w:tcPr>
          <w:p w14:paraId="23BD2599">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16</w:t>
            </w:r>
            <w:r>
              <w:rPr>
                <w:rFonts w:hint="eastAsia" w:ascii="Times New Roman" w:cs="Times New Roman"/>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32</w:t>
            </w:r>
          </w:p>
        </w:tc>
        <w:tc>
          <w:tcPr>
            <w:tcW w:w="2149" w:type="pct"/>
          </w:tcPr>
          <w:p w14:paraId="2A583008">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5009.123</w:t>
            </w:r>
          </w:p>
        </w:tc>
      </w:tr>
      <w:tr w14:paraId="080B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73223B77">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左旋肉碱/g</w:t>
            </w:r>
          </w:p>
        </w:tc>
        <w:tc>
          <w:tcPr>
            <w:tcW w:w="1172" w:type="pct"/>
          </w:tcPr>
          <w:p w14:paraId="0350397F">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w:t>
            </w:r>
            <w:r>
              <w:rPr>
                <w:rFonts w:hint="eastAsia" w:ascii="Times New Roman" w:cs="Times New Roman"/>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strike w:val="0"/>
                <w:color w:val="000000" w:themeColor="text1"/>
                <w:sz w:val="15"/>
                <w:szCs w:val="15"/>
                <w:lang w:val="zh-TW" w:eastAsia="zh-TW"/>
                <w14:textFill>
                  <w14:solidFill>
                    <w14:schemeClr w14:val="tx1"/>
                  </w14:solidFill>
                </w14:textFill>
              </w:rPr>
              <w:t>2</w:t>
            </w:r>
          </w:p>
        </w:tc>
        <w:tc>
          <w:tcPr>
            <w:tcW w:w="2149" w:type="pct"/>
          </w:tcPr>
          <w:p w14:paraId="37BA7AF4">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29989</w:t>
            </w:r>
          </w:p>
        </w:tc>
      </w:tr>
      <w:tr w14:paraId="159EE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76BADCB2">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肌酸/g</w:t>
            </w:r>
          </w:p>
        </w:tc>
        <w:tc>
          <w:tcPr>
            <w:tcW w:w="1172" w:type="pct"/>
            <w:vAlign w:val="center"/>
          </w:tcPr>
          <w:p w14:paraId="79B17FC3">
            <w:pPr>
              <w:pStyle w:val="19"/>
              <w:snapToGrid w:val="0"/>
              <w:ind w:firstLine="0" w:firstLineChars="0"/>
              <w:rPr>
                <w:rFonts w:hint="default" w:ascii="Times New Roman" w:hAnsi="Times New Roman" w:eastAsia="宋体"/>
                <w:b w:val="0"/>
                <w:bCs w:val="0"/>
                <w:strike/>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w:t>
            </w:r>
            <w:r>
              <w:rPr>
                <w:rFonts w:hint="eastAsia" w:ascii="Times New Roman" w:cs="Times New Roman"/>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3</w:t>
            </w:r>
          </w:p>
        </w:tc>
        <w:tc>
          <w:tcPr>
            <w:tcW w:w="2149" w:type="pct"/>
            <w:vAlign w:val="center"/>
          </w:tcPr>
          <w:p w14:paraId="297F59A5">
            <w:pPr>
              <w:pStyle w:val="19"/>
              <w:snapToGrid w:val="0"/>
              <w:ind w:firstLine="0" w:firstLineChars="0"/>
              <w:rPr>
                <w:rFonts w:hint="default" w:ascii="Times New Roman" w:hAnsi="Times New Roman" w:eastAsia="宋体"/>
                <w:b w:val="0"/>
                <w:bCs w:val="0"/>
                <w:color w:val="000000" w:themeColor="text1"/>
                <w:sz w:val="15"/>
                <w:szCs w:val="15"/>
                <w:lang w:val="zh-TW" w:eastAsia="zh-CN"/>
                <w14:textFill>
                  <w14:solidFill>
                    <w14:schemeClr w14:val="tx1"/>
                  </w14:solidFill>
                </w14:textFill>
              </w:rPr>
            </w:pPr>
            <w:r>
              <w:rPr>
                <w:rFonts w:hint="default" w:ascii="Times New Roman" w:hAnsi="Times New Roman" w:eastAsia="宋体"/>
                <w:b w:val="0"/>
                <w:bCs w:val="0"/>
                <w:color w:val="000000" w:themeColor="text1"/>
                <w:sz w:val="15"/>
                <w:szCs w:val="15"/>
                <w:lang w:val="zh-TW"/>
                <w14:textFill>
                  <w14:solidFill>
                    <w14:schemeClr w14:val="tx1"/>
                  </w14:solidFill>
                </w14:textFill>
              </w:rPr>
              <w:t>G</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B 24154 附录</w:t>
            </w:r>
            <w:r>
              <w:rPr>
                <w:rFonts w:hint="default" w:ascii="Times New Roman" w:hAnsi="Times New Roman" w:eastAsia="宋体"/>
                <w:b w:val="0"/>
                <w:bCs w:val="0"/>
                <w:color w:val="000000" w:themeColor="text1"/>
                <w:sz w:val="15"/>
                <w:szCs w:val="15"/>
                <w:lang w:val="zh-TW"/>
                <w14:textFill>
                  <w14:solidFill>
                    <w14:schemeClr w14:val="tx1"/>
                  </w14:solidFill>
                </w14:textFill>
              </w:rPr>
              <w:t>B</w:t>
            </w:r>
          </w:p>
        </w:tc>
      </w:tr>
      <w:tr w14:paraId="5CB5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4D934F40">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d-核糖/g</w:t>
            </w:r>
          </w:p>
        </w:tc>
        <w:tc>
          <w:tcPr>
            <w:tcW w:w="1172" w:type="pct"/>
          </w:tcPr>
          <w:p w14:paraId="27543314">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w:t>
            </w:r>
            <w:r>
              <w:rPr>
                <w:rFonts w:hint="eastAsia" w:ascii="Times New Roman" w:cs="Times New Roman"/>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2</w:t>
            </w:r>
          </w:p>
        </w:tc>
        <w:tc>
          <w:tcPr>
            <w:tcW w:w="2149" w:type="pct"/>
          </w:tcPr>
          <w:p w14:paraId="64383E29">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w:t>
            </w:r>
          </w:p>
        </w:tc>
      </w:tr>
      <w:tr w14:paraId="1788B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5000" w:type="pct"/>
            <w:gridSpan w:val="3"/>
            <w:vAlign w:val="center"/>
          </w:tcPr>
          <w:p w14:paraId="2E79F3BF">
            <w:pPr>
              <w:pStyle w:val="19"/>
              <w:snapToGrid w:val="0"/>
              <w:ind w:firstLine="300" w:firstLineChars="200"/>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zh-TW" w:eastAsia="zh-TW"/>
              </w:rPr>
              <w:t>#</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对没有特别添加钠营养素的运动营养食品不做下限要求。</w:t>
            </w:r>
          </w:p>
        </w:tc>
      </w:tr>
    </w:tbl>
    <w:p w14:paraId="426858DD">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bookmarkStart w:id="4" w:name="_Hlk195635310"/>
      <w:r>
        <w:rPr>
          <w:rFonts w:hint="default" w:ascii="黑体" w:hAnsi="黑体" w:eastAsia="黑体" w:cs="黑体"/>
          <w:lang w:val="zh-TW" w:eastAsia="zh-TW"/>
        </w:rPr>
        <w:t>5.4</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污染物限量和真菌毒素限量</w:t>
      </w:r>
    </w:p>
    <w:p w14:paraId="3825E33D">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5.4.1</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default" w:ascii="Times New Roman" w:hAnsi="Times New Roman" w:eastAsia="宋体"/>
          <w:lang w:val="zh-TW" w:eastAsia="zh-TW"/>
        </w:rPr>
        <w:t>污染物限量应符合GB 2762的规定。</w:t>
      </w:r>
    </w:p>
    <w:p w14:paraId="519EC3CA">
      <w:pPr>
        <w:pStyle w:val="20"/>
        <w:numPr>
          <w:ilvl w:val="0"/>
          <w:numId w:val="0"/>
        </w:numPr>
        <w:spacing w:before="120" w:after="120"/>
        <w:ind w:firstLineChars="0"/>
        <w:rPr>
          <w:rFonts w:hint="default" w:ascii="Times New Roman" w:hAnsi="Times New Roman" w:eastAsia="宋体"/>
          <w:lang w:val="zh-TW" w:eastAsia="zh-TW"/>
        </w:rPr>
      </w:pPr>
      <w:r>
        <w:rPr>
          <w:rFonts w:hint="default" w:ascii="黑体" w:hAnsi="黑体" w:eastAsia="黑体" w:cs="黑体"/>
          <w:lang w:val="zh-TW" w:eastAsia="zh-TW"/>
        </w:rPr>
        <w:t>5.4.2</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default" w:ascii="Times New Roman" w:hAnsi="Times New Roman" w:eastAsia="宋体"/>
          <w:lang w:val="zh-TW" w:eastAsia="zh-TW"/>
        </w:rPr>
        <w:t>真菌毒素限量应符合GB 2761的规定。</w:t>
      </w:r>
      <w:bookmarkEnd w:id="4"/>
    </w:p>
    <w:p w14:paraId="4141A1B3">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bookmarkStart w:id="5" w:name="_Hlk195635342"/>
      <w:r>
        <w:rPr>
          <w:rFonts w:hint="default" w:ascii="黑体" w:hAnsi="黑体" w:eastAsia="黑体" w:cs="黑体"/>
          <w:lang w:val="zh-TW" w:eastAsia="zh-TW"/>
        </w:rPr>
        <w:t>5.5</w:t>
      </w:r>
      <w:r>
        <w:rPr>
          <w:rFonts w:hint="default" w:ascii="Times New Roman" w:hAnsi="Times New Roman" w:eastAsia="黑体"/>
          <w:lang w:val="zh-TW" w:eastAsia="zh-TW"/>
        </w:rPr>
        <w:t xml:space="preserve">  微生物限量</w:t>
      </w:r>
    </w:p>
    <w:p w14:paraId="0DE53329">
      <w:pPr>
        <w:pStyle w:val="19"/>
        <w:ind w:firstLine="0" w:firstLineChars="0"/>
        <w:rPr>
          <w:rFonts w:hint="default" w:ascii="Times New Roman" w:hAnsi="Times New Roman" w:eastAsia="宋体"/>
          <w:lang w:val="zh-TW" w:eastAsia="zh-TW"/>
        </w:rPr>
      </w:pPr>
      <w:r>
        <w:rPr>
          <w:rFonts w:hint="default" w:ascii="黑体" w:hAnsi="黑体" w:eastAsia="黑体" w:cs="黑体"/>
          <w:sz w:val="21"/>
          <w:lang w:val="zh-TW" w:eastAsia="zh-TW" w:bidi="ar-SA"/>
        </w:rPr>
        <w:t>5.5.1</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经过商业无菌生产的产品，应符合商业无菌的要求，按GB 4789.26的方法检验。</w:t>
      </w:r>
    </w:p>
    <w:p w14:paraId="6B689C9E">
      <w:pPr>
        <w:pStyle w:val="19"/>
        <w:ind w:firstLine="0" w:firstLineChars="0"/>
        <w:rPr>
          <w:rFonts w:hint="default" w:ascii="Times New Roman" w:hAnsi="Times New Roman" w:eastAsia="宋体"/>
          <w:lang w:val="zh-TW" w:eastAsia="zh-TW"/>
        </w:rPr>
      </w:pPr>
      <w:r>
        <w:rPr>
          <w:rFonts w:hint="default" w:ascii="黑体" w:hAnsi="黑体" w:eastAsia="黑体" w:cs="黑体"/>
          <w:sz w:val="21"/>
          <w:lang w:val="zh-TW" w:eastAsia="zh-TW" w:bidi="ar-SA"/>
        </w:rPr>
        <w:t>5.5.2</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未经过商业无菌生产的产品的致病菌限量应符合GB 29921的规定，其他微生物限量应符合表</w:t>
      </w:r>
      <w:r>
        <w:rPr>
          <w:rFonts w:hint="eastAsia" w:ascii="Times New Roman"/>
          <w:lang w:val="en-US" w:eastAsia="zh-CN"/>
        </w:rPr>
        <w:t>4</w:t>
      </w:r>
      <w:r>
        <w:rPr>
          <w:rFonts w:hint="default" w:ascii="Times New Roman" w:hAnsi="Times New Roman" w:eastAsia="宋体"/>
          <w:lang w:val="zh-TW" w:eastAsia="zh-TW"/>
        </w:rPr>
        <w:t>的要求</w:t>
      </w:r>
    </w:p>
    <w:p w14:paraId="5CEC20B2">
      <w:pPr>
        <w:pStyle w:val="19"/>
        <w:spacing w:beforeLines="50" w:afterLines="50"/>
        <w:ind w:firstLine="0" w:firstLineChars="0"/>
        <w:jc w:val="center"/>
        <w:rPr>
          <w:rFonts w:hint="eastAsia" w:ascii="黑体" w:hAnsi="黑体" w:eastAsia="黑体" w:cs="黑体"/>
          <w:b w:val="0"/>
          <w:bCs/>
          <w:lang w:val="zh-TW" w:eastAsia="zh-TW"/>
        </w:rPr>
      </w:pPr>
      <w:r>
        <w:rPr>
          <w:rFonts w:hint="eastAsia" w:ascii="黑体" w:hAnsi="黑体" w:eastAsia="黑体" w:cs="黑体"/>
          <w:b w:val="0"/>
          <w:bCs/>
          <w:lang w:val="zh-TW" w:eastAsia="zh-TW"/>
        </w:rPr>
        <w:t>表</w:t>
      </w:r>
      <w:r>
        <w:rPr>
          <w:rFonts w:hint="eastAsia" w:ascii="黑体" w:hAnsi="黑体" w:eastAsia="黑体" w:cs="黑体"/>
          <w:b w:val="0"/>
          <w:bCs/>
          <w:lang w:val="en-US" w:eastAsia="zh-CN"/>
        </w:rPr>
        <w:t xml:space="preserve"> 4</w:t>
      </w:r>
      <w:r>
        <w:rPr>
          <w:rFonts w:hint="eastAsia" w:ascii="黑体" w:hAnsi="黑体" w:eastAsia="黑体" w:cs="黑体"/>
          <w:b w:val="0"/>
          <w:bCs/>
          <w:lang w:val="zh-TW" w:eastAsia="zh-TW"/>
        </w:rPr>
        <w:t xml:space="preserve"> </w:t>
      </w:r>
      <w:r>
        <w:rPr>
          <w:rFonts w:hint="eastAsia" w:ascii="黑体" w:hAnsi="黑体" w:eastAsia="黑体" w:cs="黑体"/>
          <w:b w:val="0"/>
          <w:bCs/>
          <w:lang w:val="en-US" w:eastAsia="zh-CN"/>
        </w:rPr>
        <w:t xml:space="preserve"> </w:t>
      </w:r>
      <w:r>
        <w:rPr>
          <w:rFonts w:hint="eastAsia" w:ascii="黑体" w:hAnsi="黑体" w:eastAsia="黑体" w:cs="黑体"/>
          <w:b w:val="0"/>
          <w:bCs/>
          <w:lang w:val="zh-TW" w:eastAsia="zh-TW"/>
        </w:rPr>
        <w:t>微生物限量指标</w:t>
      </w:r>
    </w:p>
    <w:tbl>
      <w:tblPr>
        <w:tblStyle w:val="8"/>
        <w:tblW w:w="50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1185"/>
        <w:gridCol w:w="1185"/>
        <w:gridCol w:w="1185"/>
        <w:gridCol w:w="1190"/>
        <w:gridCol w:w="1798"/>
      </w:tblGrid>
      <w:tr w14:paraId="43AAB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62" w:type="pct"/>
            <w:vMerge w:val="restart"/>
            <w:vAlign w:val="center"/>
          </w:tcPr>
          <w:p w14:paraId="69AF27ED">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项目</w:t>
            </w:r>
          </w:p>
        </w:tc>
        <w:tc>
          <w:tcPr>
            <w:tcW w:w="2783" w:type="pct"/>
            <w:gridSpan w:val="4"/>
            <w:vAlign w:val="center"/>
          </w:tcPr>
          <w:p w14:paraId="7F9B9213">
            <w:pPr>
              <w:pStyle w:val="19"/>
              <w:snapToGrid w:val="0"/>
              <w:ind w:firstLine="0" w:firstLineChars="0"/>
              <w:jc w:val="center"/>
              <w:rPr>
                <w:rFonts w:hint="eastAsia" w:ascii="Times New Roman" w:hAnsi="Times New Roman" w:eastAsia="宋体"/>
                <w:b/>
                <w:sz w:val="15"/>
                <w:szCs w:val="15"/>
                <w:lang w:val="zh-TW" w:eastAsia="zh-CN"/>
              </w:rPr>
            </w:pPr>
            <w:r>
              <w:rPr>
                <w:rFonts w:hint="default" w:ascii="Times New Roman" w:hAnsi="Times New Roman" w:eastAsia="宋体"/>
                <w:b/>
                <w:sz w:val="15"/>
                <w:szCs w:val="15"/>
                <w:lang w:val="zh-TW" w:eastAsia="zh-TW"/>
              </w:rPr>
              <w:t>采样方案</w:t>
            </w:r>
            <w:r>
              <w:rPr>
                <w:rFonts w:hint="default" w:ascii="Times New Roman" w:hAnsi="Times New Roman" w:eastAsia="宋体"/>
                <w:b/>
                <w:sz w:val="15"/>
                <w:szCs w:val="15"/>
                <w:vertAlign w:val="superscript"/>
                <w:lang w:val="zh-TW" w:eastAsia="zh-TW"/>
              </w:rPr>
              <w:t>a</w:t>
            </w:r>
            <w:r>
              <w:rPr>
                <w:rFonts w:hint="default" w:ascii="Times New Roman" w:hAnsi="Times New Roman" w:eastAsia="宋体"/>
                <w:b/>
                <w:sz w:val="15"/>
                <w:szCs w:val="15"/>
                <w:lang w:val="zh-TW" w:eastAsia="zh-TW"/>
              </w:rPr>
              <w:t>及限量</w:t>
            </w:r>
            <w:r>
              <w:rPr>
                <w:rFonts w:hint="eastAsia" w:ascii="Times New Roman"/>
                <w:b/>
                <w:sz w:val="15"/>
                <w:szCs w:val="15"/>
                <w:lang w:val="zh-TW" w:eastAsia="zh-CN"/>
              </w:rPr>
              <w:t>（</w:t>
            </w:r>
            <w:r>
              <w:rPr>
                <w:rFonts w:hint="default" w:ascii="Times New Roman" w:hAnsi="Times New Roman" w:eastAsia="宋体"/>
                <w:b/>
                <w:sz w:val="15"/>
                <w:szCs w:val="15"/>
                <w:lang w:val="zh-TW" w:eastAsia="zh-TW"/>
              </w:rPr>
              <w:t>若非指定</w:t>
            </w:r>
            <w:r>
              <w:rPr>
                <w:rFonts w:hint="eastAsia" w:ascii="Times New Roman"/>
                <w:b/>
                <w:sz w:val="15"/>
                <w:szCs w:val="15"/>
                <w:lang w:val="zh-TW" w:eastAsia="zh-CN"/>
              </w:rPr>
              <w:t>，</w:t>
            </w:r>
            <w:r>
              <w:rPr>
                <w:rFonts w:hint="default" w:ascii="Times New Roman" w:hAnsi="Times New Roman" w:eastAsia="宋体"/>
                <w:b/>
                <w:sz w:val="15"/>
                <w:szCs w:val="15"/>
                <w:lang w:val="zh-TW" w:eastAsia="zh-TW"/>
              </w:rPr>
              <w:t>均以CFU/g或</w:t>
            </w:r>
            <w:r>
              <w:rPr>
                <w:rFonts w:hint="default" w:ascii="Times New Roman" w:hAnsi="Times New Roman" w:eastAsia="宋体"/>
                <w:b/>
                <w:sz w:val="15"/>
                <w:szCs w:val="15"/>
                <w:lang w:val="zh-TW"/>
              </w:rPr>
              <w:t>C</w:t>
            </w:r>
            <w:r>
              <w:rPr>
                <w:rFonts w:hint="default" w:ascii="Times New Roman" w:hAnsi="Times New Roman" w:eastAsia="宋体"/>
                <w:b/>
                <w:sz w:val="15"/>
                <w:szCs w:val="15"/>
                <w:lang w:val="zh-TW" w:eastAsia="zh-TW"/>
              </w:rPr>
              <w:t>FU/mL表示</w:t>
            </w:r>
            <w:r>
              <w:rPr>
                <w:rFonts w:hint="eastAsia" w:ascii="Times New Roman"/>
                <w:b/>
                <w:sz w:val="15"/>
                <w:szCs w:val="15"/>
                <w:lang w:val="zh-TW" w:eastAsia="zh-CN"/>
              </w:rPr>
              <w:t>）</w:t>
            </w:r>
          </w:p>
        </w:tc>
        <w:tc>
          <w:tcPr>
            <w:tcW w:w="1054" w:type="pct"/>
            <w:vMerge w:val="restart"/>
            <w:vAlign w:val="center"/>
          </w:tcPr>
          <w:p w14:paraId="0E3FE116">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检验方法</w:t>
            </w:r>
          </w:p>
        </w:tc>
      </w:tr>
      <w:tr w14:paraId="736E2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62" w:type="pct"/>
            <w:vMerge w:val="continue"/>
            <w:vAlign w:val="center"/>
          </w:tcPr>
          <w:p w14:paraId="0760A107">
            <w:pPr>
              <w:pStyle w:val="19"/>
              <w:snapToGrid w:val="0"/>
              <w:ind w:firstLine="0" w:firstLineChars="0"/>
              <w:jc w:val="center"/>
              <w:rPr>
                <w:rFonts w:hint="default" w:ascii="Times New Roman" w:hAnsi="Times New Roman" w:eastAsia="宋体"/>
                <w:sz w:val="15"/>
                <w:szCs w:val="15"/>
                <w:lang w:val="zh-TW" w:eastAsia="zh-TW"/>
              </w:rPr>
            </w:pPr>
          </w:p>
        </w:tc>
        <w:tc>
          <w:tcPr>
            <w:tcW w:w="695" w:type="pct"/>
            <w:vAlign w:val="center"/>
          </w:tcPr>
          <w:p w14:paraId="210E4DA8">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n</w:t>
            </w:r>
          </w:p>
        </w:tc>
        <w:tc>
          <w:tcPr>
            <w:tcW w:w="695" w:type="pct"/>
            <w:vAlign w:val="center"/>
          </w:tcPr>
          <w:p w14:paraId="3CC5DDC7">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c</w:t>
            </w:r>
          </w:p>
        </w:tc>
        <w:tc>
          <w:tcPr>
            <w:tcW w:w="695" w:type="pct"/>
            <w:vAlign w:val="center"/>
          </w:tcPr>
          <w:p w14:paraId="0DD9FA88">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m</w:t>
            </w:r>
          </w:p>
        </w:tc>
        <w:tc>
          <w:tcPr>
            <w:tcW w:w="698" w:type="pct"/>
            <w:vAlign w:val="center"/>
          </w:tcPr>
          <w:p w14:paraId="7E6CE1B5">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M</w:t>
            </w:r>
          </w:p>
        </w:tc>
        <w:tc>
          <w:tcPr>
            <w:tcW w:w="1054" w:type="pct"/>
            <w:vMerge w:val="continue"/>
            <w:vAlign w:val="center"/>
          </w:tcPr>
          <w:p w14:paraId="321BE6B3">
            <w:pPr>
              <w:pStyle w:val="19"/>
              <w:snapToGrid w:val="0"/>
              <w:ind w:firstLine="0" w:firstLineChars="0"/>
              <w:jc w:val="center"/>
              <w:rPr>
                <w:rFonts w:hint="default" w:ascii="Times New Roman" w:hAnsi="Times New Roman" w:eastAsia="宋体"/>
                <w:sz w:val="15"/>
                <w:szCs w:val="15"/>
                <w:lang w:val="zh-TW" w:eastAsia="zh-TW"/>
              </w:rPr>
            </w:pPr>
          </w:p>
        </w:tc>
      </w:tr>
      <w:tr w14:paraId="1A68D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62" w:type="pct"/>
            <w:vAlign w:val="center"/>
          </w:tcPr>
          <w:p w14:paraId="63658FE4">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菌落总数</w:t>
            </w:r>
            <w:r>
              <w:rPr>
                <w:rFonts w:hint="default" w:ascii="Times New Roman" w:hAnsi="Times New Roman" w:eastAsia="宋体"/>
                <w:sz w:val="18"/>
                <w:szCs w:val="18"/>
                <w:vertAlign w:val="superscript"/>
                <w:lang w:val="en-US" w:eastAsia="zh-CN"/>
              </w:rPr>
              <w:t>b</w:t>
            </w:r>
          </w:p>
        </w:tc>
        <w:tc>
          <w:tcPr>
            <w:tcW w:w="695" w:type="pct"/>
            <w:vAlign w:val="center"/>
          </w:tcPr>
          <w:p w14:paraId="4A4E18A3">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95" w:type="pct"/>
            <w:vAlign w:val="center"/>
          </w:tcPr>
          <w:p w14:paraId="3113F3E4">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95" w:type="pct"/>
            <w:vAlign w:val="center"/>
          </w:tcPr>
          <w:p w14:paraId="65804106">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4</w:t>
            </w:r>
          </w:p>
        </w:tc>
        <w:tc>
          <w:tcPr>
            <w:tcW w:w="698" w:type="pct"/>
            <w:vAlign w:val="center"/>
          </w:tcPr>
          <w:p w14:paraId="044B8329">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rPr>
              <w:t>5</w:t>
            </w:r>
            <w:r>
              <w:rPr>
                <w:rFonts w:hint="eastAsia" w:ascii="Times New Roman"/>
                <w:sz w:val="15"/>
                <w:szCs w:val="15"/>
                <w:lang w:val="en-US" w:eastAsia="zh-CN"/>
              </w:rPr>
              <w:t>×</w:t>
            </w: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4</w:t>
            </w:r>
          </w:p>
        </w:tc>
        <w:tc>
          <w:tcPr>
            <w:tcW w:w="1054" w:type="pct"/>
            <w:vAlign w:val="center"/>
          </w:tcPr>
          <w:p w14:paraId="5FF378A9">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4789.2</w:t>
            </w:r>
          </w:p>
        </w:tc>
      </w:tr>
      <w:tr w14:paraId="3222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62" w:type="pct"/>
            <w:vAlign w:val="center"/>
          </w:tcPr>
          <w:p w14:paraId="422C6BE8">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大肠菌群</w:t>
            </w:r>
            <w:r>
              <w:rPr>
                <w:rFonts w:hint="default" w:ascii="Times New Roman" w:hAnsi="Times New Roman" w:eastAsia="宋体"/>
                <w:sz w:val="18"/>
                <w:szCs w:val="18"/>
                <w:vertAlign w:val="superscript"/>
                <w:lang w:val="en-US" w:eastAsia="zh-CN"/>
              </w:rPr>
              <w:t>c</w:t>
            </w:r>
          </w:p>
        </w:tc>
        <w:tc>
          <w:tcPr>
            <w:tcW w:w="695" w:type="pct"/>
            <w:vAlign w:val="center"/>
          </w:tcPr>
          <w:p w14:paraId="3D347999">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95" w:type="pct"/>
            <w:vAlign w:val="center"/>
          </w:tcPr>
          <w:p w14:paraId="2129C604">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95" w:type="pct"/>
            <w:vAlign w:val="center"/>
          </w:tcPr>
          <w:p w14:paraId="5A9E3C5A">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p>
        </w:tc>
        <w:tc>
          <w:tcPr>
            <w:tcW w:w="698" w:type="pct"/>
            <w:vAlign w:val="center"/>
          </w:tcPr>
          <w:p w14:paraId="037E2BAE">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2</w:t>
            </w:r>
          </w:p>
        </w:tc>
        <w:tc>
          <w:tcPr>
            <w:tcW w:w="1054" w:type="pct"/>
            <w:vAlign w:val="center"/>
          </w:tcPr>
          <w:p w14:paraId="1A5E63AB">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4789.3平板计数法</w:t>
            </w:r>
          </w:p>
        </w:tc>
      </w:tr>
      <w:tr w14:paraId="2FDF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62" w:type="pct"/>
            <w:vAlign w:val="center"/>
          </w:tcPr>
          <w:p w14:paraId="67E82903">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大肠菌群（含乳基的产品）</w:t>
            </w:r>
          </w:p>
        </w:tc>
        <w:tc>
          <w:tcPr>
            <w:tcW w:w="695" w:type="pct"/>
            <w:vAlign w:val="center"/>
          </w:tcPr>
          <w:p w14:paraId="507A4290">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95" w:type="pct"/>
            <w:vAlign w:val="center"/>
          </w:tcPr>
          <w:p w14:paraId="7D586C6B">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95" w:type="pct"/>
            <w:vAlign w:val="center"/>
          </w:tcPr>
          <w:p w14:paraId="44444A78">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2</w:t>
            </w:r>
          </w:p>
        </w:tc>
        <w:tc>
          <w:tcPr>
            <w:tcW w:w="698" w:type="pct"/>
            <w:vAlign w:val="center"/>
          </w:tcPr>
          <w:p w14:paraId="0AE9B257">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rPr>
              <w:t>1</w:t>
            </w:r>
            <w:r>
              <w:rPr>
                <w:rFonts w:hint="default" w:ascii="Times New Roman" w:hAnsi="Times New Roman" w:eastAsia="宋体"/>
                <w:sz w:val="15"/>
                <w:szCs w:val="15"/>
                <w:lang w:val="zh-TW" w:eastAsia="zh-TW"/>
              </w:rPr>
              <w:t>0</w:t>
            </w:r>
            <w:r>
              <w:rPr>
                <w:rFonts w:hint="default" w:ascii="Times New Roman" w:hAnsi="Times New Roman" w:eastAsia="宋体"/>
                <w:sz w:val="15"/>
                <w:szCs w:val="15"/>
                <w:vertAlign w:val="superscript"/>
                <w:lang w:val="zh-TW" w:eastAsia="zh-TW"/>
              </w:rPr>
              <w:t>3</w:t>
            </w:r>
          </w:p>
        </w:tc>
        <w:tc>
          <w:tcPr>
            <w:tcW w:w="1054" w:type="pct"/>
            <w:vAlign w:val="center"/>
          </w:tcPr>
          <w:p w14:paraId="426B77CA">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4789.3平板计数法</w:t>
            </w:r>
          </w:p>
        </w:tc>
      </w:tr>
      <w:tr w14:paraId="30D81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5000" w:type="pct"/>
            <w:gridSpan w:val="6"/>
            <w:vAlign w:val="center"/>
          </w:tcPr>
          <w:p w14:paraId="28443AFB">
            <w:pPr>
              <w:pStyle w:val="19"/>
              <w:snapToGrid w:val="0"/>
              <w:ind w:firstLine="300" w:firstLineChars="200"/>
              <w:jc w:val="left"/>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zh-TW" w:eastAsia="zh-TW"/>
              </w:rPr>
              <w:t>a</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样品的分析及处理按</w:t>
            </w:r>
            <w:r>
              <w:rPr>
                <w:rFonts w:hint="default" w:ascii="Times New Roman" w:hAnsi="Times New Roman" w:eastAsia="宋体"/>
                <w:sz w:val="15"/>
                <w:szCs w:val="15"/>
                <w:lang w:val="zh-TW"/>
              </w:rPr>
              <w:t xml:space="preserve"> </w:t>
            </w:r>
            <w:r>
              <w:rPr>
                <w:rFonts w:hint="default" w:ascii="Times New Roman" w:hAnsi="Times New Roman" w:eastAsia="宋体"/>
                <w:sz w:val="15"/>
                <w:szCs w:val="15"/>
                <w:lang w:val="zh-TW" w:eastAsia="zh-TW"/>
              </w:rPr>
              <w:t>GB 4789.1 和 GB 4789.18 执行。</w:t>
            </w:r>
          </w:p>
          <w:p w14:paraId="5C97843A">
            <w:pPr>
              <w:pStyle w:val="19"/>
              <w:snapToGrid w:val="0"/>
              <w:ind w:firstLine="300" w:firstLineChars="200"/>
              <w:jc w:val="left"/>
              <w:rPr>
                <w:rFonts w:hint="default" w:ascii="Times New Roman" w:hAnsi="Times New Roman" w:eastAsia="宋体"/>
                <w:sz w:val="15"/>
                <w:szCs w:val="15"/>
                <w:lang w:val="zh-TW" w:eastAsia="zh-TW"/>
              </w:rPr>
            </w:pPr>
            <w:r>
              <w:rPr>
                <w:rFonts w:hint="default" w:ascii="Times New Roman" w:hAnsi="Times New Roman"/>
                <w:sz w:val="15"/>
                <w:szCs w:val="15"/>
                <w:vertAlign w:val="superscript"/>
                <w:lang w:val="en-US" w:eastAsia="zh-CN"/>
              </w:rPr>
              <w:t>b</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不适用于添加活性菌种（好氧和兼性厌氧菌）的产品[产品中的活菌数应≥10</w:t>
            </w:r>
            <w:r>
              <w:rPr>
                <w:rFonts w:hint="default" w:ascii="Times New Roman" w:hAnsi="Times New Roman" w:eastAsia="宋体"/>
                <w:sz w:val="15"/>
                <w:szCs w:val="15"/>
                <w:vertAlign w:val="superscript"/>
                <w:lang w:val="zh-TW" w:eastAsia="zh-TW"/>
              </w:rPr>
              <w:t>6</w:t>
            </w:r>
            <w:r>
              <w:rPr>
                <w:rFonts w:hint="default" w:ascii="Times New Roman" w:hAnsi="Times New Roman" w:eastAsia="宋体"/>
                <w:sz w:val="15"/>
                <w:szCs w:val="15"/>
                <w:lang w:val="zh-TW" w:eastAsia="zh-TW"/>
              </w:rPr>
              <w:t>CFU/g (mL)]。</w:t>
            </w:r>
          </w:p>
          <w:p w14:paraId="3BB88521">
            <w:pPr>
              <w:pStyle w:val="19"/>
              <w:snapToGrid w:val="0"/>
              <w:ind w:firstLine="300" w:firstLineChars="200"/>
              <w:jc w:val="left"/>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zh-TW" w:eastAsia="zh-TW"/>
              </w:rPr>
              <w:t>c</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含乳基的产品除外。</w:t>
            </w:r>
          </w:p>
        </w:tc>
      </w:tr>
      <w:bookmarkEnd w:id="5"/>
    </w:tbl>
    <w:p w14:paraId="33487247">
      <w:pPr>
        <w:pStyle w:val="20"/>
        <w:numPr>
          <w:ilvl w:val="0"/>
          <w:numId w:val="0"/>
        </w:numPr>
        <w:adjustRightInd w:val="0"/>
        <w:snapToGrid w:val="0"/>
        <w:spacing w:before="0" w:beforeLines="100" w:after="0" w:afterLines="100"/>
        <w:rPr>
          <w:rFonts w:hint="default" w:ascii="Times New Roman" w:hAnsi="Times New Roman" w:eastAsia="黑体"/>
          <w:color w:val="auto"/>
          <w:lang w:val="zh-TW" w:eastAsia="zh-TW"/>
        </w:rPr>
      </w:pPr>
      <w:r>
        <w:rPr>
          <w:rFonts w:hint="default" w:ascii="黑体" w:hAnsi="黑体" w:eastAsia="黑体" w:cs="黑体"/>
          <w:lang w:val="zh-TW" w:eastAsia="zh-TW"/>
        </w:rPr>
        <w:t>5.6</w:t>
      </w:r>
      <w:r>
        <w:rPr>
          <w:rFonts w:hint="default" w:ascii="Times New Roman" w:hAnsi="Times New Roman" w:eastAsia="黑体"/>
          <w:color w:val="auto"/>
          <w:lang w:val="zh-TW" w:eastAsia="zh-TW"/>
        </w:rPr>
        <w:t xml:space="preserve"> </w:t>
      </w:r>
      <w:r>
        <w:rPr>
          <w:rFonts w:hint="default" w:ascii="Times New Roman" w:eastAsia="黑体"/>
          <w:color w:val="auto"/>
          <w:lang w:val="zh-TW" w:eastAsia="zh-TW"/>
        </w:rPr>
        <w:t xml:space="preserve"> </w:t>
      </w:r>
      <w:r>
        <w:rPr>
          <w:rFonts w:hint="default" w:ascii="Times New Roman" w:hAnsi="Times New Roman" w:eastAsia="黑体"/>
          <w:color w:val="auto"/>
          <w:lang w:val="zh-TW" w:eastAsia="zh-TW"/>
        </w:rPr>
        <w:t>脲酶活性</w:t>
      </w:r>
    </w:p>
    <w:p w14:paraId="10EF0301">
      <w:pPr>
        <w:pStyle w:val="19"/>
        <w:ind w:firstLine="420"/>
        <w:rPr>
          <w:rFonts w:hint="default" w:ascii="Times New Roman" w:hAnsi="Times New Roman" w:eastAsia="宋体"/>
          <w:color w:val="000000" w:themeColor="text1"/>
          <w:lang w:val="zh-TW" w:eastAsia="zh-TW"/>
          <w14:textFill>
            <w14:solidFill>
              <w14:schemeClr w14:val="tx1"/>
            </w14:solidFill>
          </w14:textFill>
        </w:rPr>
      </w:pPr>
      <w:r>
        <w:rPr>
          <w:rFonts w:hint="default" w:ascii="Times New Roman" w:hAnsi="Times New Roman" w:eastAsia="宋体"/>
          <w:color w:val="000000" w:themeColor="text1"/>
          <w:lang w:val="zh-TW" w:eastAsia="zh-TW"/>
          <w14:textFill>
            <w14:solidFill>
              <w14:schemeClr w14:val="tx1"/>
            </w14:solidFill>
          </w14:textFill>
        </w:rPr>
        <w:t>以大豆或大豆制品作为蛋白质来源的产品中脲酶活性应符合表5的规定。</w:t>
      </w:r>
    </w:p>
    <w:p w14:paraId="7D54E382">
      <w:pPr>
        <w:pStyle w:val="19"/>
        <w:spacing w:beforeLines="50" w:afterLines="50"/>
        <w:ind w:firstLine="0" w:firstLineChars="0"/>
        <w:jc w:val="center"/>
        <w:rPr>
          <w:rFonts w:hint="eastAsia" w:ascii="黑体" w:hAnsi="黑体" w:eastAsia="黑体" w:cs="黑体"/>
          <w:b w:val="0"/>
          <w:bCs/>
          <w:color w:val="auto"/>
          <w:lang w:val="zh-TW" w:eastAsia="zh-TW"/>
        </w:rPr>
      </w:pPr>
      <w:r>
        <w:rPr>
          <w:rFonts w:hint="eastAsia" w:ascii="黑体" w:hAnsi="黑体" w:eastAsia="黑体" w:cs="黑体"/>
          <w:b w:val="0"/>
          <w:bCs/>
          <w:color w:val="auto"/>
          <w:lang w:val="zh-TW" w:eastAsia="zh-TW"/>
        </w:rPr>
        <w:t>表</w:t>
      </w:r>
      <w:r>
        <w:rPr>
          <w:rFonts w:hint="eastAsia" w:ascii="黑体" w:hAnsi="黑体" w:eastAsia="黑体" w:cs="黑体"/>
          <w:b w:val="0"/>
          <w:bCs/>
          <w:lang w:val="en-US" w:eastAsia="zh-CN"/>
        </w:rPr>
        <w:t xml:space="preserve"> </w:t>
      </w:r>
      <w:r>
        <w:rPr>
          <w:rFonts w:hint="eastAsia" w:ascii="黑体" w:hAnsi="黑体" w:eastAsia="黑体" w:cs="黑体"/>
          <w:b w:val="0"/>
          <w:bCs/>
          <w:color w:val="auto"/>
          <w:lang w:val="zh-TW" w:eastAsia="zh-TW"/>
        </w:rPr>
        <w:t xml:space="preserve">5 </w:t>
      </w:r>
      <w:r>
        <w:rPr>
          <w:rFonts w:hint="eastAsia" w:ascii="黑体" w:hAnsi="黑体" w:eastAsia="黑体" w:cs="黑体"/>
          <w:b w:val="0"/>
          <w:bCs/>
          <w:lang w:val="en-US" w:eastAsia="zh-CN"/>
        </w:rPr>
        <w:t xml:space="preserve"> </w:t>
      </w:r>
      <w:r>
        <w:rPr>
          <w:rFonts w:hint="eastAsia" w:ascii="黑体" w:hAnsi="黑体" w:eastAsia="黑体" w:cs="黑体"/>
          <w:b w:val="0"/>
          <w:bCs/>
          <w:color w:val="auto"/>
          <w:lang w:val="zh-TW" w:eastAsia="zh-TW"/>
        </w:rPr>
        <w:t>脲酶活性指标</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2"/>
        <w:gridCol w:w="2329"/>
        <w:gridCol w:w="2842"/>
      </w:tblGrid>
      <w:tr w14:paraId="761A3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963" w:type="pct"/>
            <w:vAlign w:val="center"/>
          </w:tcPr>
          <w:p w14:paraId="5EAA8B97">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项目</w:t>
            </w:r>
          </w:p>
        </w:tc>
        <w:tc>
          <w:tcPr>
            <w:tcW w:w="1368" w:type="pct"/>
            <w:vAlign w:val="center"/>
          </w:tcPr>
          <w:p w14:paraId="4FB9FCFE">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指标</w:t>
            </w:r>
          </w:p>
        </w:tc>
        <w:tc>
          <w:tcPr>
            <w:tcW w:w="1667" w:type="pct"/>
            <w:vAlign w:val="center"/>
          </w:tcPr>
          <w:p w14:paraId="2D2B6DA6">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检验方法</w:t>
            </w:r>
          </w:p>
        </w:tc>
      </w:tr>
      <w:tr w14:paraId="48E81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963" w:type="pct"/>
            <w:vAlign w:val="center"/>
          </w:tcPr>
          <w:p w14:paraId="66B5F4FF">
            <w:pPr>
              <w:pStyle w:val="19"/>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脲酶活性定性测定</w:t>
            </w:r>
          </w:p>
        </w:tc>
        <w:tc>
          <w:tcPr>
            <w:tcW w:w="1368" w:type="pct"/>
            <w:vAlign w:val="center"/>
          </w:tcPr>
          <w:p w14:paraId="6D84CB40">
            <w:pPr>
              <w:pStyle w:val="19"/>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阴性</w:t>
            </w:r>
          </w:p>
        </w:tc>
        <w:tc>
          <w:tcPr>
            <w:tcW w:w="1667" w:type="pct"/>
            <w:vAlign w:val="center"/>
          </w:tcPr>
          <w:p w14:paraId="1A7656AE">
            <w:pPr>
              <w:pStyle w:val="19"/>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5413.31</w:t>
            </w: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a</w:t>
            </w:r>
          </w:p>
        </w:tc>
      </w:tr>
      <w:tr w14:paraId="64F30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5000" w:type="pct"/>
            <w:gridSpan w:val="3"/>
            <w:vAlign w:val="center"/>
          </w:tcPr>
          <w:p w14:paraId="2FAB9800">
            <w:pPr>
              <w:pStyle w:val="19"/>
              <w:snapToGrid w:val="0"/>
              <w:ind w:firstLine="300" w:firstLineChars="200"/>
              <w:jc w:val="left"/>
              <w:rPr>
                <w:rFonts w:hint="eastAsia" w:ascii="Times New Roman" w:hAnsi="Times New Roman" w:eastAsia="宋体"/>
                <w:color w:val="000000" w:themeColor="text1"/>
                <w:sz w:val="15"/>
                <w:szCs w:val="15"/>
                <w:lang w:val="zh-TW" w:eastAsia="zh-CN"/>
                <w14:textFill>
                  <w14:solidFill>
                    <w14:schemeClr w14:val="tx1"/>
                  </w14:solidFill>
                </w14:textFill>
              </w:rPr>
            </w:pP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a</w:t>
            </w:r>
            <w:r>
              <w:rPr>
                <w:rFonts w:hint="eastAsia" w:ascii="Times New Roman"/>
                <w:color w:val="000000" w:themeColor="text1"/>
                <w:sz w:val="15"/>
                <w:szCs w:val="15"/>
                <w:vertAlign w:val="superscript"/>
                <w:lang w:val="en-US" w:eastAsia="zh-CN"/>
                <w14:textFill>
                  <w14:solidFill>
                    <w14:schemeClr w14:val="tx1"/>
                  </w14:solidFill>
                </w14:textFill>
              </w:rPr>
              <w:t xml:space="preserve">  </w:t>
            </w:r>
            <w:r>
              <w:rPr>
                <w:rFonts w:hint="default" w:ascii="Times New Roman" w:hAnsi="Times New Roman" w:eastAsia="宋体"/>
                <w:color w:val="000000" w:themeColor="text1"/>
                <w:sz w:val="15"/>
                <w:szCs w:val="15"/>
                <w:lang w:val="zh-TW" w:eastAsia="zh-TW"/>
                <w14:textFill>
                  <w14:solidFill>
                    <w14:schemeClr w14:val="tx1"/>
                  </w14:solidFill>
                </w14:textFill>
              </w:rPr>
              <w:t>液态产品的取样量应根据干物质含量进行折算</w:t>
            </w:r>
            <w:r>
              <w:rPr>
                <w:rFonts w:hint="eastAsia" w:ascii="Times New Roman"/>
                <w:color w:val="000000" w:themeColor="text1"/>
                <w:sz w:val="15"/>
                <w:szCs w:val="15"/>
                <w:lang w:val="zh-TW" w:eastAsia="zh-CN"/>
                <w14:textFill>
                  <w14:solidFill>
                    <w14:schemeClr w14:val="tx1"/>
                  </w14:solidFill>
                </w14:textFill>
              </w:rPr>
              <w:t>。</w:t>
            </w:r>
          </w:p>
        </w:tc>
      </w:tr>
    </w:tbl>
    <w:p w14:paraId="373E4529">
      <w:pPr>
        <w:pStyle w:val="20"/>
        <w:numPr>
          <w:ilvl w:val="0"/>
          <w:numId w:val="0"/>
        </w:numPr>
        <w:adjustRightInd w:val="0"/>
        <w:snapToGrid w:val="0"/>
        <w:spacing w:before="0" w:beforeLines="100" w:after="0" w:afterLines="100"/>
        <w:rPr>
          <w:rFonts w:hint="default" w:ascii="Times New Roman" w:hAnsi="Times New Roman" w:eastAsia="黑体"/>
          <w:lang w:val="zh-TW"/>
        </w:rPr>
      </w:pPr>
      <w:r>
        <w:rPr>
          <w:rFonts w:hint="default" w:ascii="黑体" w:hAnsi="黑体" w:eastAsia="黑体" w:cs="黑体"/>
          <w:lang w:val="zh-TW" w:eastAsia="zh-TW"/>
        </w:rPr>
        <w:t>6</w:t>
      </w:r>
      <w:r>
        <w:rPr>
          <w:rFonts w:hint="default" w:ascii="Times New Roman" w:hAnsi="Times New Roman" w:eastAsia="黑体"/>
          <w:lang w:val="zh-TW" w:eastAsia="zh-TW"/>
        </w:rPr>
        <w:t xml:space="preserve">  </w:t>
      </w:r>
      <w:r>
        <w:rPr>
          <w:rFonts w:hint="default" w:ascii="Times New Roman" w:hAnsi="Times New Roman" w:eastAsia="黑体"/>
        </w:rPr>
        <w:t>净含量</w:t>
      </w:r>
    </w:p>
    <w:p w14:paraId="6AEFF67B">
      <w:pPr>
        <w:pStyle w:val="19"/>
        <w:ind w:firstLine="420"/>
        <w:rPr>
          <w:rFonts w:hint="default" w:ascii="Times New Roman" w:hAnsi="Times New Roman" w:eastAsia="宋体"/>
          <w:lang w:val="zh-TW"/>
        </w:rPr>
      </w:pPr>
      <w:r>
        <w:rPr>
          <w:rFonts w:hint="default" w:ascii="Times New Roman" w:hAnsi="Times New Roman" w:eastAsia="宋体"/>
          <w:lang w:val="zh-TW" w:eastAsia="zh-TW"/>
        </w:rPr>
        <w:t>应符合JJF 1070和《定量包装商品计量监督管理办法》的规定</w:t>
      </w:r>
      <w:r>
        <w:rPr>
          <w:rFonts w:hint="default" w:ascii="Times New Roman" w:hAnsi="Times New Roman" w:eastAsia="宋体"/>
          <w:lang w:val="zh-TW"/>
        </w:rPr>
        <w:t>。</w:t>
      </w:r>
    </w:p>
    <w:p w14:paraId="12CFBC8E">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7</w:t>
      </w:r>
      <w:r>
        <w:rPr>
          <w:rFonts w:hint="default" w:ascii="Times New Roman" w:hAnsi="Times New Roman" w:eastAsia="黑体"/>
          <w:lang w:val="zh-TW" w:eastAsia="zh-TW"/>
        </w:rPr>
        <w:t xml:space="preserve">  生产加工过程卫生要求</w:t>
      </w:r>
    </w:p>
    <w:p w14:paraId="46814E68">
      <w:pPr>
        <w:pStyle w:val="19"/>
        <w:ind w:firstLine="420"/>
        <w:rPr>
          <w:rFonts w:hint="default" w:ascii="Times New Roman" w:hAnsi="Times New Roman" w:eastAsia="宋体"/>
          <w:lang w:val="zh-TW"/>
        </w:rPr>
      </w:pPr>
      <w:r>
        <w:rPr>
          <w:rFonts w:hint="default" w:ascii="Times New Roman" w:hAnsi="Times New Roman" w:eastAsia="宋体"/>
          <w:lang w:val="zh-TW" w:eastAsia="zh-TW"/>
        </w:rPr>
        <w:t>应符合 GB 14881及其他有关国家标准或规定的要求</w:t>
      </w:r>
      <w:r>
        <w:rPr>
          <w:rFonts w:hint="default" w:ascii="Times New Roman" w:hAnsi="Times New Roman" w:eastAsia="宋体"/>
          <w:lang w:val="zh-TW"/>
        </w:rPr>
        <w:t>。</w:t>
      </w:r>
    </w:p>
    <w:p w14:paraId="69A9B5CF">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8</w:t>
      </w:r>
      <w:r>
        <w:rPr>
          <w:rFonts w:hint="default" w:ascii="Times New Roman" w:hAnsi="Times New Roman" w:eastAsia="黑体"/>
          <w:lang w:val="zh-TW" w:eastAsia="zh-TW"/>
        </w:rPr>
        <w:t xml:space="preserve">  检验规则</w:t>
      </w:r>
    </w:p>
    <w:p w14:paraId="2EB0B1B9">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8.1</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组批</w:t>
      </w:r>
    </w:p>
    <w:p w14:paraId="4B9ED2C9">
      <w:pPr>
        <w:pStyle w:val="19"/>
        <w:ind w:firstLine="420"/>
        <w:rPr>
          <w:rFonts w:hint="default" w:ascii="Times New Roman" w:hAnsi="Times New Roman" w:eastAsia="宋体"/>
          <w:lang w:val="zh-TW"/>
        </w:rPr>
      </w:pPr>
      <w:r>
        <w:rPr>
          <w:rFonts w:hint="default" w:ascii="Times New Roman" w:hAnsi="Times New Roman" w:eastAsia="宋体"/>
          <w:lang w:val="zh-TW" w:eastAsia="zh-TW"/>
        </w:rPr>
        <w:t>同一生产周期、工艺、生产线、日期、规格的产品为一个批次</w:t>
      </w:r>
      <w:r>
        <w:rPr>
          <w:rFonts w:hint="default" w:ascii="Times New Roman" w:hAnsi="Times New Roman" w:eastAsia="宋体"/>
          <w:lang w:val="zh-TW"/>
        </w:rPr>
        <w:t>。</w:t>
      </w:r>
    </w:p>
    <w:p w14:paraId="270934EC">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8.2</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抽样方法和抽样数量</w:t>
      </w:r>
    </w:p>
    <w:p w14:paraId="27401BA6">
      <w:pPr>
        <w:pStyle w:val="19"/>
        <w:ind w:firstLine="420"/>
        <w:rPr>
          <w:rFonts w:hint="default" w:ascii="Times New Roman" w:hAnsi="Times New Roman" w:eastAsia="宋体"/>
          <w:lang w:val="zh-TW"/>
        </w:rPr>
      </w:pPr>
      <w:r>
        <w:rPr>
          <w:rFonts w:hint="default" w:ascii="Times New Roman" w:hAnsi="Times New Roman" w:eastAsia="宋体"/>
        </w:rPr>
        <w:t>每批随机抽取样品，数量满足检验和留样备查的需要</w:t>
      </w:r>
      <w:r>
        <w:rPr>
          <w:rFonts w:hint="default" w:ascii="Times New Roman" w:hAnsi="Times New Roman" w:eastAsia="宋体"/>
          <w:lang w:val="zh-TW"/>
        </w:rPr>
        <w:t>。</w:t>
      </w:r>
    </w:p>
    <w:p w14:paraId="617187F1">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8.3</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出厂检验</w:t>
      </w:r>
    </w:p>
    <w:p w14:paraId="5B79242E">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8.3.1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产品需经逐批检验合格</w:t>
      </w:r>
      <w:r>
        <w:rPr>
          <w:rFonts w:hint="eastAsia" w:ascii="Times New Roman" w:cs="Times New Roman"/>
          <w:lang w:eastAsia="zh-CN"/>
        </w:rPr>
        <w:t>，</w:t>
      </w:r>
      <w:r>
        <w:rPr>
          <w:rFonts w:hint="default" w:ascii="Times New Roman" w:hAnsi="Times New Roman" w:eastAsia="宋体"/>
          <w:lang w:eastAsia="zh-TW"/>
        </w:rPr>
        <w:t>附产品合格证方可出厂。</w:t>
      </w:r>
    </w:p>
    <w:p w14:paraId="516DEDAC">
      <w:pPr>
        <w:pStyle w:val="19"/>
        <w:spacing w:before="120" w:beforeLines="50"/>
        <w:ind w:firstLine="0" w:firstLineChars="0"/>
        <w:rPr>
          <w:rFonts w:hint="default" w:ascii="Times New Roman" w:hAnsi="Times New Roman" w:eastAsia="宋体"/>
          <w:b w:val="0"/>
          <w:bCs w:val="0"/>
          <w:color w:val="000000" w:themeColor="text1"/>
          <w:lang w:eastAsia="zh-TW"/>
          <w14:textFill>
            <w14:solidFill>
              <w14:schemeClr w14:val="tx1"/>
            </w14:solidFill>
          </w14:textFill>
        </w:rPr>
      </w:pPr>
      <w:r>
        <w:rPr>
          <w:rFonts w:hint="default" w:ascii="黑体" w:hAnsi="黑体" w:eastAsia="黑体" w:cs="黑体"/>
          <w:sz w:val="21"/>
          <w:lang w:val="en-US" w:eastAsia="zh-TW" w:bidi="ar-SA"/>
        </w:rPr>
        <w:t>8.3.2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出厂检验项目包括感官要求、技术指标、污染物限量、真菌毒素限量、微生物限</w:t>
      </w:r>
      <w:r>
        <w:rPr>
          <w:rFonts w:hint="default" w:ascii="Times New Roman" w:hAnsi="Times New Roman" w:eastAsia="宋体"/>
          <w:b w:val="0"/>
          <w:bCs w:val="0"/>
          <w:color w:val="000000" w:themeColor="text1"/>
          <w:lang w:eastAsia="zh-TW"/>
          <w14:textFill>
            <w14:solidFill>
              <w14:schemeClr w14:val="tx1"/>
            </w14:solidFill>
          </w14:textFill>
        </w:rPr>
        <w:t>量、脲酶活性</w:t>
      </w:r>
      <w:bookmarkStart w:id="6" w:name="_Hlk192237856"/>
      <w:r>
        <w:rPr>
          <w:rFonts w:hint="eastAsia" w:ascii="Times New Roman"/>
          <w:b w:val="0"/>
          <w:bCs w:val="0"/>
          <w:color w:val="000000" w:themeColor="text1"/>
          <w:lang w:eastAsia="zh-CN"/>
          <w14:textFill>
            <w14:solidFill>
              <w14:schemeClr w14:val="tx1"/>
            </w14:solidFill>
          </w14:textFill>
        </w:rPr>
        <w:t>（</w:t>
      </w:r>
      <w:r>
        <w:rPr>
          <w:rFonts w:hint="default" w:ascii="Times New Roman" w:hAnsi="Times New Roman" w:eastAsia="宋体"/>
          <w:b w:val="0"/>
          <w:bCs w:val="0"/>
          <w:color w:val="000000" w:themeColor="text1"/>
          <w:lang w:eastAsia="zh-TW"/>
          <w14:textFill>
            <w14:solidFill>
              <w14:schemeClr w14:val="tx1"/>
            </w14:solidFill>
          </w14:textFill>
        </w:rPr>
        <w:t>仅适用于含有大豆成分的产品</w:t>
      </w:r>
      <w:bookmarkEnd w:id="6"/>
      <w:r>
        <w:rPr>
          <w:rFonts w:hint="eastAsia" w:ascii="Times New Roman"/>
          <w:b w:val="0"/>
          <w:bCs w:val="0"/>
          <w:color w:val="000000" w:themeColor="text1"/>
          <w:lang w:eastAsia="zh-CN"/>
          <w14:textFill>
            <w14:solidFill>
              <w14:schemeClr w14:val="tx1"/>
            </w14:solidFill>
          </w14:textFill>
        </w:rPr>
        <w:t>）</w:t>
      </w:r>
      <w:r>
        <w:rPr>
          <w:rFonts w:hint="default" w:ascii="Times New Roman" w:hAnsi="Times New Roman" w:eastAsia="宋体"/>
          <w:b w:val="0"/>
          <w:bCs w:val="0"/>
          <w:color w:val="000000" w:themeColor="text1"/>
          <w:lang w:eastAsia="zh-TW"/>
          <w14:textFill>
            <w14:solidFill>
              <w14:schemeClr w14:val="tx1"/>
            </w14:solidFill>
          </w14:textFill>
        </w:rPr>
        <w:t>、净含量。</w:t>
      </w:r>
    </w:p>
    <w:p w14:paraId="0143CE15">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eastAsia="zh-TW"/>
        </w:rPr>
        <w:t>8.4</w:t>
      </w:r>
      <w:r>
        <w:rPr>
          <w:rFonts w:hint="default" w:ascii="Times New Roman" w:hAnsi="Times New Roman" w:eastAsia="黑体"/>
          <w:lang w:val="zh-TW" w:eastAsia="zh-TW"/>
        </w:rPr>
        <w:t xml:space="preserve"> </w:t>
      </w:r>
      <w:r>
        <w:rPr>
          <w:rFonts w:hint="default" w:ascii="Times New Roman" w:eastAsia="黑体"/>
          <w:lang w:val="zh-TW" w:eastAsia="zh-TW"/>
        </w:rPr>
        <w:t xml:space="preserve"> </w:t>
      </w:r>
      <w:r>
        <w:rPr>
          <w:rFonts w:hint="default" w:ascii="Times New Roman" w:hAnsi="Times New Roman" w:eastAsia="黑体"/>
          <w:lang w:val="zh-TW" w:eastAsia="zh-TW"/>
        </w:rPr>
        <w:t>型式检验</w:t>
      </w:r>
    </w:p>
    <w:p w14:paraId="2145B301">
      <w:pPr>
        <w:pStyle w:val="19"/>
        <w:spacing w:before="120" w:beforeLines="50"/>
        <w:ind w:firstLine="0" w:firstLineChars="0"/>
        <w:rPr>
          <w:rFonts w:hint="eastAsia" w:ascii="Times New Roman" w:hAnsi="Times New Roman" w:eastAsia="宋体"/>
          <w:lang w:eastAsia="zh-CN"/>
        </w:rPr>
      </w:pPr>
      <w:r>
        <w:rPr>
          <w:rFonts w:hint="default" w:ascii="黑体" w:hAnsi="黑体" w:eastAsia="黑体" w:cs="黑体"/>
          <w:sz w:val="21"/>
          <w:lang w:val="en-US" w:eastAsia="zh-TW" w:bidi="ar-SA"/>
        </w:rPr>
        <w:t>8.4.1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正常生产时每年进行一次型式检验</w:t>
      </w:r>
      <w:r>
        <w:rPr>
          <w:rFonts w:hint="eastAsia" w:ascii="Times New Roman" w:cs="Times New Roman"/>
          <w:lang w:eastAsia="zh-CN"/>
        </w:rPr>
        <w:t>，</w:t>
      </w:r>
      <w:r>
        <w:rPr>
          <w:rFonts w:hint="default" w:ascii="Times New Roman" w:hAnsi="Times New Roman" w:eastAsia="宋体"/>
          <w:lang w:eastAsia="zh-TW"/>
        </w:rPr>
        <w:t>有下列情况时也应进行型式检验</w:t>
      </w:r>
      <w:r>
        <w:rPr>
          <w:rFonts w:hint="eastAsia" w:ascii="Times New Roman" w:cs="Times New Roman"/>
          <w:lang w:eastAsia="zh-CN"/>
        </w:rPr>
        <w:t>：</w:t>
      </w:r>
    </w:p>
    <w:p w14:paraId="09F0E9C3">
      <w:pPr>
        <w:pStyle w:val="19"/>
        <w:autoSpaceDE/>
        <w:autoSpaceDN/>
        <w:spacing w:before="120" w:beforeLines="50"/>
        <w:ind w:left="0" w:leftChars="0" w:firstLine="420"/>
        <w:rPr>
          <w:rFonts w:hint="eastAsia" w:ascii="Times New Roman" w:hAnsi="Times New Roman" w:eastAsia="宋体"/>
          <w:lang w:eastAsia="zh-CN"/>
        </w:rPr>
      </w:pPr>
      <w:r>
        <w:rPr>
          <w:rFonts w:hint="default" w:ascii="Times New Roman" w:hAnsi="Times New Roman" w:eastAsia="宋体"/>
          <w:lang w:eastAsia="zh-TW"/>
        </w:rPr>
        <w:t>——新产品试制鉴定时</w:t>
      </w:r>
      <w:r>
        <w:rPr>
          <w:rFonts w:hint="eastAsia" w:ascii="Times New Roman" w:cs="Times New Roman"/>
          <w:lang w:eastAsia="zh-CN"/>
        </w:rPr>
        <w:t>；</w:t>
      </w:r>
    </w:p>
    <w:p w14:paraId="7A4485E3">
      <w:pPr>
        <w:pStyle w:val="19"/>
        <w:autoSpaceDE/>
        <w:autoSpaceDN/>
        <w:spacing w:before="120" w:beforeLines="50"/>
        <w:ind w:left="0" w:leftChars="0" w:firstLine="420"/>
        <w:rPr>
          <w:rFonts w:hint="eastAsia" w:ascii="Times New Roman" w:hAnsi="Times New Roman" w:eastAsia="宋体"/>
          <w:lang w:eastAsia="zh-CN"/>
        </w:rPr>
      </w:pPr>
      <w:r>
        <w:rPr>
          <w:rFonts w:hint="default" w:ascii="Times New Roman" w:hAnsi="Times New Roman" w:eastAsia="宋体"/>
          <w:lang w:eastAsia="zh-TW"/>
        </w:rPr>
        <w:t>——原料、工艺有较大改变可能影响到产品的质量时</w:t>
      </w:r>
      <w:r>
        <w:rPr>
          <w:rFonts w:hint="eastAsia" w:ascii="Times New Roman" w:cs="Times New Roman"/>
          <w:lang w:eastAsia="zh-CN"/>
        </w:rPr>
        <w:t>；</w:t>
      </w:r>
    </w:p>
    <w:p w14:paraId="31D145D2">
      <w:pPr>
        <w:pStyle w:val="19"/>
        <w:autoSpaceDE/>
        <w:autoSpaceDN/>
        <w:spacing w:before="120" w:beforeLines="50"/>
        <w:ind w:left="0" w:leftChars="0" w:firstLine="420"/>
        <w:rPr>
          <w:rFonts w:hint="eastAsia" w:ascii="Times New Roman" w:hAnsi="Times New Roman" w:eastAsia="宋体"/>
          <w:lang w:eastAsia="zh-CN"/>
        </w:rPr>
      </w:pPr>
      <w:r>
        <w:rPr>
          <w:rFonts w:hint="default" w:ascii="Times New Roman" w:hAnsi="Times New Roman" w:eastAsia="宋体"/>
          <w:lang w:eastAsia="zh-TW"/>
        </w:rPr>
        <w:t>——出厂检验结果与上次型式检验结果有较大差异时</w:t>
      </w:r>
      <w:r>
        <w:rPr>
          <w:rFonts w:hint="eastAsia" w:ascii="Times New Roman" w:cs="Times New Roman"/>
          <w:lang w:eastAsia="zh-CN"/>
        </w:rPr>
        <w:t>；</w:t>
      </w:r>
    </w:p>
    <w:p w14:paraId="44705E2F">
      <w:pPr>
        <w:pStyle w:val="19"/>
        <w:autoSpaceDE/>
        <w:autoSpaceDN/>
        <w:spacing w:before="120" w:beforeLines="50"/>
        <w:ind w:left="0" w:leftChars="0" w:firstLine="420"/>
        <w:rPr>
          <w:rFonts w:hint="eastAsia" w:ascii="Times New Roman" w:hAnsi="Times New Roman" w:eastAsia="宋体"/>
          <w:lang w:eastAsia="zh-CN"/>
        </w:rPr>
      </w:pPr>
      <w:r>
        <w:rPr>
          <w:rFonts w:hint="default" w:ascii="Times New Roman" w:hAnsi="Times New Roman" w:eastAsia="宋体"/>
          <w:lang w:eastAsia="zh-TW"/>
        </w:rPr>
        <w:t>——停产半年及以上</w:t>
      </w:r>
      <w:r>
        <w:rPr>
          <w:rFonts w:hint="eastAsia" w:ascii="Times New Roman" w:cs="Times New Roman"/>
          <w:lang w:eastAsia="zh-CN"/>
        </w:rPr>
        <w:t>，</w:t>
      </w:r>
      <w:r>
        <w:rPr>
          <w:rFonts w:hint="default" w:ascii="Times New Roman" w:hAnsi="Times New Roman" w:eastAsia="宋体"/>
          <w:lang w:eastAsia="zh-TW"/>
        </w:rPr>
        <w:t>恢复生产时</w:t>
      </w:r>
      <w:r>
        <w:rPr>
          <w:rFonts w:hint="eastAsia" w:ascii="Times New Roman" w:cs="Times New Roman"/>
          <w:lang w:eastAsia="zh-CN"/>
        </w:rPr>
        <w:t>；</w:t>
      </w:r>
    </w:p>
    <w:p w14:paraId="25DA0333">
      <w:pPr>
        <w:pStyle w:val="19"/>
        <w:autoSpaceDE/>
        <w:autoSpaceDN/>
        <w:spacing w:before="120" w:beforeLines="50"/>
        <w:ind w:left="0" w:leftChars="0" w:firstLine="420"/>
        <w:rPr>
          <w:rFonts w:hint="default" w:ascii="Times New Roman" w:hAnsi="Times New Roman" w:eastAsia="宋体"/>
          <w:lang w:eastAsia="zh-TW"/>
        </w:rPr>
      </w:pPr>
      <w:r>
        <w:rPr>
          <w:rFonts w:hint="default" w:ascii="Times New Roman" w:hAnsi="Times New Roman" w:eastAsia="宋体"/>
          <w:lang w:eastAsia="zh-TW"/>
        </w:rPr>
        <w:t>——监管部门提出要求时。</w:t>
      </w:r>
    </w:p>
    <w:p w14:paraId="37B97200">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8.4.2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型式检验项目为本文件中技术要求中5.2</w:t>
      </w:r>
      <w:r>
        <w:rPr>
          <w:rFonts w:hint="eastAsia" w:ascii="Times New Roman"/>
          <w:lang w:val="en-US" w:eastAsia="zh-CN"/>
        </w:rPr>
        <w:t>~</w:t>
      </w:r>
      <w:r>
        <w:rPr>
          <w:rFonts w:hint="default" w:ascii="Times New Roman" w:hAnsi="Times New Roman" w:eastAsia="宋体"/>
          <w:lang w:eastAsia="zh-TW"/>
        </w:rPr>
        <w:t>5.</w:t>
      </w:r>
      <w:r>
        <w:rPr>
          <w:rFonts w:hint="eastAsia" w:ascii="Times New Roman"/>
          <w:lang w:val="en-US" w:eastAsia="zh-CN"/>
        </w:rPr>
        <w:t>6</w:t>
      </w:r>
      <w:r>
        <w:rPr>
          <w:rFonts w:hint="default" w:ascii="Times New Roman" w:hAnsi="Times New Roman" w:eastAsia="宋体"/>
          <w:lang w:eastAsia="zh-TW"/>
        </w:rPr>
        <w:t>和净含量规定的项目。</w:t>
      </w:r>
    </w:p>
    <w:p w14:paraId="605745DC">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rPr>
        <w:t>9</w:t>
      </w:r>
      <w:r>
        <w:rPr>
          <w:rFonts w:hint="default" w:ascii="Times New Roman" w:hAnsi="Times New Roman" w:eastAsia="黑体"/>
          <w:lang w:val="zh-TW" w:eastAsia="zh-TW"/>
        </w:rPr>
        <w:t xml:space="preserve">  判定规则</w:t>
      </w:r>
    </w:p>
    <w:p w14:paraId="0F1FFD4A">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9.1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检验项目全部符合本文件要求时</w:t>
      </w:r>
      <w:r>
        <w:rPr>
          <w:rFonts w:hint="eastAsia" w:ascii="Times New Roman" w:cs="Times New Roman"/>
          <w:lang w:eastAsia="zh-CN"/>
        </w:rPr>
        <w:t>，</w:t>
      </w:r>
      <w:r>
        <w:rPr>
          <w:rFonts w:hint="default" w:ascii="Times New Roman" w:hAnsi="Times New Roman" w:eastAsia="宋体"/>
          <w:lang w:eastAsia="zh-TW"/>
        </w:rPr>
        <w:t>判定为合格。</w:t>
      </w:r>
    </w:p>
    <w:p w14:paraId="5944B6BB">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9.2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微生物项目有1项或1项以上不合格的</w:t>
      </w:r>
      <w:r>
        <w:rPr>
          <w:rFonts w:hint="eastAsia" w:ascii="Times New Roman" w:cs="Times New Roman"/>
          <w:lang w:eastAsia="zh-CN"/>
        </w:rPr>
        <w:t>，</w:t>
      </w:r>
      <w:r>
        <w:rPr>
          <w:rFonts w:hint="default" w:ascii="Times New Roman" w:hAnsi="Times New Roman" w:eastAsia="宋体"/>
          <w:lang w:eastAsia="zh-TW"/>
        </w:rPr>
        <w:t>判定为不合格</w:t>
      </w:r>
      <w:r>
        <w:rPr>
          <w:rFonts w:hint="eastAsia" w:ascii="Times New Roman" w:cs="Times New Roman"/>
          <w:lang w:eastAsia="zh-CN"/>
        </w:rPr>
        <w:t>，</w:t>
      </w:r>
      <w:r>
        <w:rPr>
          <w:rFonts w:hint="default" w:ascii="Times New Roman" w:hAnsi="Times New Roman" w:eastAsia="宋体"/>
          <w:lang w:eastAsia="zh-TW"/>
        </w:rPr>
        <w:t>且不得复检。微生物以外的项目有不合格的</w:t>
      </w:r>
      <w:r>
        <w:rPr>
          <w:rFonts w:hint="eastAsia" w:ascii="Times New Roman" w:cs="Times New Roman"/>
          <w:lang w:eastAsia="zh-CN"/>
        </w:rPr>
        <w:t>，</w:t>
      </w:r>
      <w:r>
        <w:rPr>
          <w:rFonts w:hint="default" w:ascii="Times New Roman" w:hAnsi="Times New Roman" w:eastAsia="宋体"/>
          <w:lang w:eastAsia="zh-TW"/>
        </w:rPr>
        <w:t>可在同批产品中加倍抽样复检。复检结果全部符合本文件要求的</w:t>
      </w:r>
      <w:r>
        <w:rPr>
          <w:rFonts w:hint="eastAsia" w:ascii="Times New Roman" w:cs="Times New Roman"/>
          <w:lang w:eastAsia="zh-CN"/>
        </w:rPr>
        <w:t>，</w:t>
      </w:r>
      <w:r>
        <w:rPr>
          <w:rFonts w:hint="default" w:ascii="Times New Roman" w:hAnsi="Times New Roman" w:eastAsia="宋体"/>
          <w:lang w:eastAsia="zh-TW"/>
        </w:rPr>
        <w:t>判定为合格。复检结果仍有不合格的项目</w:t>
      </w:r>
      <w:r>
        <w:rPr>
          <w:rFonts w:hint="eastAsia" w:ascii="Times New Roman"/>
          <w:lang w:val="en-US" w:eastAsia="zh-CN"/>
        </w:rPr>
        <w:t>时</w:t>
      </w:r>
      <w:r>
        <w:rPr>
          <w:rFonts w:hint="eastAsia" w:ascii="Times New Roman" w:cs="Times New Roman"/>
          <w:lang w:eastAsia="zh-CN"/>
        </w:rPr>
        <w:t>，</w:t>
      </w:r>
      <w:r>
        <w:rPr>
          <w:rFonts w:hint="default" w:ascii="Times New Roman" w:hAnsi="Times New Roman" w:eastAsia="宋体"/>
          <w:lang w:eastAsia="zh-TW"/>
        </w:rPr>
        <w:t>判定为不合格。</w:t>
      </w:r>
    </w:p>
    <w:p w14:paraId="3C22FC46">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rPr>
        <w:t>1</w:t>
      </w:r>
      <w:r>
        <w:rPr>
          <w:rFonts w:hint="default" w:ascii="黑体" w:hAnsi="黑体" w:eastAsia="黑体" w:cs="黑体"/>
        </w:rPr>
        <w:t>0</w:t>
      </w:r>
      <w:r>
        <w:rPr>
          <w:rFonts w:hint="default" w:ascii="Times New Roman" w:hAnsi="Times New Roman" w:eastAsia="黑体"/>
        </w:rPr>
        <w:t xml:space="preserve"> </w:t>
      </w:r>
      <w:r>
        <w:rPr>
          <w:rFonts w:hint="default" w:ascii="Times New Roman" w:hAnsi="Times New Roman" w:eastAsia="黑体"/>
          <w:lang w:val="zh-TW" w:eastAsia="zh-TW"/>
        </w:rPr>
        <w:t xml:space="preserve"> 标签</w:t>
      </w:r>
    </w:p>
    <w:p w14:paraId="2534E931">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10.1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产品标签应符合GB 13432的规定。</w:t>
      </w:r>
    </w:p>
    <w:p w14:paraId="79E2B585">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10.2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应在标签主要展示面</w:t>
      </w:r>
      <w:r>
        <w:rPr>
          <w:rFonts w:hint="eastAsia" w:ascii="Times New Roman"/>
          <w:lang w:eastAsia="zh-CN"/>
        </w:rPr>
        <w:t>（</w:t>
      </w:r>
      <w:r>
        <w:rPr>
          <w:rFonts w:hint="eastAsia" w:ascii="Times New Roman"/>
        </w:rPr>
        <w:t>预包装食品包装物或包装容器上容易被观察到的版面</w:t>
      </w:r>
      <w:r>
        <w:rPr>
          <w:rFonts w:hint="eastAsia" w:ascii="Times New Roman"/>
          <w:lang w:eastAsia="zh-CN"/>
        </w:rPr>
        <w:t>）</w:t>
      </w:r>
      <w:r>
        <w:rPr>
          <w:rFonts w:hint="default" w:ascii="Times New Roman" w:hAnsi="Times New Roman" w:eastAsia="宋体"/>
          <w:lang w:eastAsia="zh-TW"/>
        </w:rPr>
        <w:t>标示</w:t>
      </w:r>
      <w:r>
        <w:rPr>
          <w:rFonts w:hint="eastAsia" w:ascii="Times New Roman"/>
          <w:lang w:eastAsia="zh-CN"/>
        </w:rPr>
        <w:t>“</w:t>
      </w:r>
      <w:r>
        <w:rPr>
          <w:rFonts w:hint="default" w:ascii="Times New Roman" w:hAnsi="Times New Roman" w:eastAsia="宋体"/>
          <w:lang w:eastAsia="zh-TW"/>
        </w:rPr>
        <w:t>运动营养食品</w:t>
      </w:r>
      <w:r>
        <w:rPr>
          <w:rFonts w:hint="eastAsia" w:ascii="Times New Roman"/>
          <w:lang w:eastAsia="zh-CN"/>
        </w:rPr>
        <w:t>”</w:t>
      </w:r>
      <w:r>
        <w:rPr>
          <w:rFonts w:hint="eastAsia" w:ascii="Times New Roman"/>
          <w:lang w:val="en-US" w:eastAsia="zh-CN"/>
        </w:rPr>
        <w:t>和</w:t>
      </w:r>
      <w:r>
        <w:rPr>
          <w:rFonts w:hint="eastAsia" w:ascii="Times New Roman"/>
          <w:lang w:eastAsia="zh-CN"/>
        </w:rPr>
        <w:t>“</w:t>
      </w:r>
      <w:r>
        <w:rPr>
          <w:rFonts w:hint="default" w:ascii="Times New Roman" w:hAnsi="Times New Roman" w:eastAsia="宋体"/>
          <w:lang w:eastAsia="zh-TW"/>
        </w:rPr>
        <w:t>运动后恢复类</w:t>
      </w:r>
      <w:r>
        <w:rPr>
          <w:rFonts w:hint="eastAsia" w:ascii="Times New Roman"/>
          <w:lang w:eastAsia="zh-CN"/>
        </w:rPr>
        <w:t>”</w:t>
      </w:r>
      <w:r>
        <w:rPr>
          <w:rFonts w:hint="default" w:ascii="Times New Roman" w:hAnsi="Times New Roman" w:eastAsia="宋体"/>
          <w:lang w:eastAsia="zh-TW"/>
        </w:rPr>
        <w:t>的字样。</w:t>
      </w:r>
    </w:p>
    <w:p w14:paraId="095A9C6A">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10.3</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如有不适宜人群</w:t>
      </w:r>
      <w:r>
        <w:rPr>
          <w:rFonts w:hint="eastAsia" w:ascii="Times New Roman" w:cs="Times New Roman"/>
          <w:lang w:eastAsia="zh-CN"/>
        </w:rPr>
        <w:t>，</w:t>
      </w:r>
      <w:r>
        <w:rPr>
          <w:rFonts w:hint="default" w:ascii="Times New Roman" w:hAnsi="Times New Roman" w:eastAsia="宋体"/>
          <w:lang w:eastAsia="zh-TW"/>
        </w:rPr>
        <w:t>应在标签中标识。</w:t>
      </w:r>
    </w:p>
    <w:p w14:paraId="56B5132E">
      <w:pPr>
        <w:pStyle w:val="19"/>
        <w:spacing w:before="120" w:beforeLines="50"/>
        <w:ind w:firstLine="0" w:firstLineChars="0"/>
        <w:rPr>
          <w:rFonts w:hint="default" w:ascii="Times New Roman" w:hAnsi="Times New Roman" w:eastAsia="宋体"/>
          <w:b w:val="0"/>
          <w:bCs/>
          <w:color w:val="000000" w:themeColor="text1"/>
          <w:lang w:eastAsia="zh-TW"/>
          <w14:textFill>
            <w14:solidFill>
              <w14:schemeClr w14:val="tx1"/>
            </w14:solidFill>
          </w14:textFill>
        </w:rPr>
      </w:pPr>
      <w:bookmarkStart w:id="7" w:name="_Hlk195635428"/>
      <w:r>
        <w:rPr>
          <w:rFonts w:hint="default" w:ascii="黑体" w:hAnsi="黑体" w:eastAsia="黑体" w:cs="黑体"/>
          <w:sz w:val="21"/>
          <w:lang w:val="en-US" w:eastAsia="zh-TW" w:bidi="ar-SA"/>
        </w:rPr>
        <w:t>10.4</w:t>
      </w:r>
      <w:r>
        <w:rPr>
          <w:rFonts w:hint="default" w:ascii="Times New Roman" w:hAnsi="Times New Roman" w:eastAsia="宋体"/>
          <w:b w:val="0"/>
          <w:bCs/>
          <w:color w:val="000000" w:themeColor="text1"/>
          <w:lang w:eastAsia="zh-TW"/>
          <w14:textFill>
            <w14:solidFill>
              <w14:schemeClr w14:val="tx1"/>
            </w14:solidFill>
          </w14:textFill>
        </w:rPr>
        <w:t xml:space="preserve"> </w:t>
      </w:r>
      <w:r>
        <w:rPr>
          <w:rFonts w:hint="eastAsia" w:ascii="Times New Roman"/>
          <w:b w:val="0"/>
          <w:bCs/>
          <w:color w:val="000000" w:themeColor="text1"/>
          <w:lang w:val="en-US" w:eastAsia="zh-CN"/>
          <w14:textFill>
            <w14:solidFill>
              <w14:schemeClr w14:val="tx1"/>
            </w14:solidFill>
          </w14:textFill>
        </w:rPr>
        <w:t xml:space="preserve"> </w:t>
      </w:r>
      <w:r>
        <w:rPr>
          <w:rFonts w:hint="default" w:ascii="Times New Roman" w:hAnsi="Times New Roman" w:eastAsia="宋体"/>
          <w:b w:val="0"/>
          <w:bCs/>
          <w:color w:val="000000" w:themeColor="text1"/>
          <w:lang w:eastAsia="zh-TW"/>
          <w14:textFill>
            <w14:solidFill>
              <w14:schemeClr w14:val="tx1"/>
            </w14:solidFill>
          </w14:textFill>
        </w:rPr>
        <w:t>对于添加了肌酸的产品应在标签中标示</w:t>
      </w:r>
      <w:r>
        <w:rPr>
          <w:rFonts w:hint="eastAsia" w:ascii="Times New Roman" w:cs="Times New Roman"/>
          <w:b w:val="0"/>
          <w:bCs/>
          <w:color w:val="000000" w:themeColor="text1"/>
          <w:lang w:eastAsia="zh-CN"/>
          <w14:textFill>
            <w14:solidFill>
              <w14:schemeClr w14:val="tx1"/>
            </w14:solidFill>
          </w14:textFill>
        </w:rPr>
        <w:t>“</w:t>
      </w:r>
      <w:r>
        <w:rPr>
          <w:rFonts w:hint="default" w:ascii="Times New Roman" w:hAnsi="Times New Roman" w:eastAsia="宋体"/>
          <w:b w:val="0"/>
          <w:bCs/>
          <w:color w:val="000000" w:themeColor="text1"/>
          <w:lang w:eastAsia="zh-TW"/>
          <w14:textFill>
            <w14:solidFill>
              <w14:schemeClr w14:val="tx1"/>
            </w14:solidFill>
          </w14:textFill>
        </w:rPr>
        <w:t>孕妇、哺乳期妇女、儿童及婴幼儿不适宜食用</w:t>
      </w:r>
      <w:r>
        <w:rPr>
          <w:rFonts w:hint="eastAsia" w:ascii="Times New Roman" w:cs="Times New Roman"/>
          <w:b w:val="0"/>
          <w:bCs/>
          <w:color w:val="000000" w:themeColor="text1"/>
          <w:lang w:eastAsia="zh-CN"/>
          <w14:textFill>
            <w14:solidFill>
              <w14:schemeClr w14:val="tx1"/>
            </w14:solidFill>
          </w14:textFill>
        </w:rPr>
        <w:t>”</w:t>
      </w:r>
      <w:r>
        <w:rPr>
          <w:rFonts w:hint="default" w:ascii="Times New Roman" w:hAnsi="Times New Roman" w:eastAsia="宋体"/>
          <w:b w:val="0"/>
          <w:bCs/>
          <w:color w:val="000000" w:themeColor="text1"/>
          <w:lang w:eastAsia="zh-TW"/>
          <w14:textFill>
            <w14:solidFill>
              <w14:schemeClr w14:val="tx1"/>
            </w14:solidFill>
          </w14:textFill>
        </w:rPr>
        <w:t>。</w:t>
      </w:r>
      <w:bookmarkEnd w:id="7"/>
    </w:p>
    <w:p w14:paraId="7BADADA4">
      <w:pPr>
        <w:pStyle w:val="20"/>
        <w:numPr>
          <w:ilvl w:val="0"/>
          <w:numId w:val="0"/>
        </w:numPr>
        <w:adjustRightInd w:val="0"/>
        <w:snapToGrid w:val="0"/>
        <w:spacing w:before="0" w:beforeLines="100" w:after="0" w:afterLines="100"/>
        <w:rPr>
          <w:rFonts w:hint="default" w:ascii="Times New Roman" w:hAnsi="Times New Roman" w:eastAsia="黑体"/>
        </w:rPr>
      </w:pPr>
      <w:r>
        <w:rPr>
          <w:rFonts w:hint="default" w:ascii="黑体" w:hAnsi="黑体" w:eastAsia="黑体" w:cs="黑体"/>
          <w:lang w:val="zh-TW"/>
        </w:rPr>
        <w:t>1</w:t>
      </w:r>
      <w:r>
        <w:rPr>
          <w:rFonts w:hint="default" w:ascii="黑体" w:hAnsi="黑体" w:eastAsia="黑体" w:cs="黑体"/>
        </w:rPr>
        <w:t>1</w:t>
      </w:r>
      <w:r>
        <w:rPr>
          <w:rFonts w:hint="default" w:ascii="Times New Roman" w:hAnsi="Times New Roman" w:eastAsia="黑体"/>
          <w:lang w:val="zh-TW" w:eastAsia="zh-TW"/>
        </w:rPr>
        <w:t xml:space="preserve">  </w:t>
      </w:r>
      <w:r>
        <w:rPr>
          <w:rFonts w:hint="default" w:ascii="Times New Roman" w:hAnsi="Times New Roman" w:eastAsia="黑体"/>
        </w:rPr>
        <w:t>包装</w:t>
      </w:r>
    </w:p>
    <w:p w14:paraId="50EB55ED">
      <w:pPr>
        <w:pStyle w:val="19"/>
        <w:ind w:firstLine="420"/>
        <w:rPr>
          <w:rFonts w:hint="default" w:ascii="Times New Roman" w:hAnsi="Times New Roman" w:eastAsia="宋体"/>
          <w:lang w:val="zh-TW"/>
        </w:rPr>
      </w:pPr>
      <w:r>
        <w:rPr>
          <w:rFonts w:hint="default" w:ascii="Times New Roman" w:hAnsi="Times New Roman" w:eastAsia="宋体"/>
          <w:lang w:val="zh-TW"/>
        </w:rPr>
        <w:t>包装材料应符合相应食品安全国家标准的规定和其他相关规定</w:t>
      </w:r>
      <w:r>
        <w:rPr>
          <w:rFonts w:hint="eastAsia" w:ascii="Times New Roman" w:cs="Times New Roman"/>
          <w:lang w:val="zh-TW" w:eastAsia="zh-CN"/>
        </w:rPr>
        <w:t>，</w:t>
      </w:r>
      <w:r>
        <w:rPr>
          <w:rFonts w:hint="default" w:ascii="Times New Roman" w:hAnsi="Times New Roman" w:eastAsia="宋体"/>
          <w:lang w:val="zh-TW"/>
        </w:rPr>
        <w:t>可以使用符合食品安全国家标准的二氧化碳和/或氮气作为包装介质。</w:t>
      </w:r>
    </w:p>
    <w:p w14:paraId="6F4C4DEB">
      <w:pPr>
        <w:pStyle w:val="20"/>
        <w:numPr>
          <w:ilvl w:val="0"/>
          <w:numId w:val="0"/>
        </w:numPr>
        <w:adjustRightInd w:val="0"/>
        <w:snapToGrid w:val="0"/>
        <w:spacing w:before="0" w:beforeLines="100" w:after="0" w:afterLines="100"/>
        <w:rPr>
          <w:rFonts w:hint="default" w:ascii="Times New Roman" w:hAnsi="Times New Roman" w:eastAsia="黑体"/>
          <w:lang w:val="zh-TW" w:eastAsia="zh-TW"/>
        </w:rPr>
      </w:pPr>
      <w:r>
        <w:rPr>
          <w:rFonts w:hint="default" w:ascii="黑体" w:hAnsi="黑体" w:eastAsia="黑体" w:cs="黑体"/>
          <w:lang w:val="zh-TW"/>
        </w:rPr>
        <w:t>1</w:t>
      </w:r>
      <w:r>
        <w:rPr>
          <w:rFonts w:hint="default" w:ascii="黑体" w:hAnsi="黑体" w:eastAsia="黑体" w:cs="黑体"/>
        </w:rPr>
        <w:t>2</w:t>
      </w:r>
      <w:r>
        <w:rPr>
          <w:rFonts w:hint="default" w:ascii="Times New Roman" w:hAnsi="Times New Roman" w:eastAsia="黑体"/>
          <w:lang w:val="zh-TW" w:eastAsia="zh-TW"/>
        </w:rPr>
        <w:t xml:space="preserve">  运输和贮存</w:t>
      </w:r>
    </w:p>
    <w:p w14:paraId="5D5634FE">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12.1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运输工具应清洁、卫生。产品不得与有毒、有害、有腐蚀性、易挥发或有异味的物品混装混运。</w:t>
      </w:r>
    </w:p>
    <w:p w14:paraId="4F3BE198">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12.2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搬运时应轻拿轻放</w:t>
      </w:r>
      <w:r>
        <w:rPr>
          <w:rFonts w:hint="eastAsia" w:ascii="Times New Roman" w:cs="Times New Roman"/>
          <w:lang w:eastAsia="zh-CN"/>
        </w:rPr>
        <w:t>，</w:t>
      </w:r>
      <w:r>
        <w:rPr>
          <w:rFonts w:hint="default" w:ascii="Times New Roman" w:hAnsi="Times New Roman" w:eastAsia="宋体"/>
          <w:lang w:eastAsia="zh-TW"/>
        </w:rPr>
        <w:t>不得扔摔、撞击、挤压</w:t>
      </w:r>
      <w:r>
        <w:rPr>
          <w:rFonts w:hint="eastAsia" w:ascii="Times New Roman" w:cs="Times New Roman"/>
          <w:lang w:eastAsia="zh-CN"/>
        </w:rPr>
        <w:t>，</w:t>
      </w:r>
      <w:r>
        <w:rPr>
          <w:rFonts w:hint="default" w:ascii="Times New Roman" w:hAnsi="Times New Roman" w:eastAsia="宋体"/>
          <w:lang w:eastAsia="zh-TW"/>
        </w:rPr>
        <w:t>装车时必须堆放稳固、挤紧</w:t>
      </w:r>
      <w:r>
        <w:rPr>
          <w:rFonts w:hint="eastAsia" w:ascii="Times New Roman" w:cs="Times New Roman"/>
          <w:lang w:eastAsia="zh-CN"/>
        </w:rPr>
        <w:t>，</w:t>
      </w:r>
      <w:r>
        <w:rPr>
          <w:rFonts w:hint="default" w:ascii="Times New Roman" w:hAnsi="Times New Roman" w:eastAsia="宋体"/>
          <w:lang w:eastAsia="zh-TW"/>
        </w:rPr>
        <w:t>避免剧烈振荡。</w:t>
      </w:r>
    </w:p>
    <w:p w14:paraId="1032CC6F">
      <w:pPr>
        <w:pStyle w:val="19"/>
        <w:spacing w:before="120" w:beforeLines="50"/>
        <w:ind w:firstLine="0" w:firstLineChars="0"/>
        <w:rPr>
          <w:rFonts w:hint="default" w:ascii="Times New Roman" w:hAnsi="Times New Roman" w:eastAsia="宋体"/>
          <w:lang w:val="zh-TW" w:eastAsia="zh-TW"/>
        </w:rPr>
      </w:pPr>
      <w:r>
        <w:rPr>
          <w:rFonts w:hint="default" w:ascii="黑体" w:hAnsi="黑体" w:eastAsia="黑体" w:cs="黑体"/>
          <w:sz w:val="21"/>
          <w:lang w:val="en-US" w:eastAsia="zh-TW" w:bidi="ar-SA"/>
        </w:rPr>
        <w:t>12.3</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产品应在常温下贮存</w:t>
      </w:r>
      <w:r>
        <w:rPr>
          <w:rFonts w:hint="eastAsia" w:ascii="Times New Roman" w:cs="Times New Roman"/>
          <w:lang w:eastAsia="zh-CN"/>
        </w:rPr>
        <w:t>，</w:t>
      </w:r>
      <w:r>
        <w:rPr>
          <w:rFonts w:hint="default" w:ascii="Times New Roman" w:hAnsi="Times New Roman" w:eastAsia="宋体"/>
          <w:lang w:eastAsia="zh-TW"/>
        </w:rPr>
        <w:t>仓库应清洁、卫生、干燥</w:t>
      </w:r>
      <w:r>
        <w:rPr>
          <w:rFonts w:hint="eastAsia" w:ascii="Times New Roman" w:cs="Times New Roman"/>
          <w:lang w:eastAsia="zh-CN"/>
        </w:rPr>
        <w:t>，</w:t>
      </w:r>
      <w:r>
        <w:rPr>
          <w:rFonts w:hint="default" w:ascii="Times New Roman" w:hAnsi="Times New Roman" w:eastAsia="宋体"/>
          <w:lang w:eastAsia="zh-TW"/>
        </w:rPr>
        <w:t>不得与有毒、有害、有异味、易</w:t>
      </w:r>
      <w:r>
        <w:rPr>
          <w:rFonts w:hint="default" w:ascii="Times New Roman" w:hAnsi="Times New Roman" w:eastAsia="宋体"/>
          <w:lang w:val="zh-TW" w:eastAsia="zh-TW"/>
        </w:rPr>
        <w:t>挥发、有腐蚀性的物品同处贮存</w:t>
      </w:r>
      <w:r>
        <w:rPr>
          <w:rFonts w:hint="eastAsia" w:ascii="Times New Roman" w:cs="Times New Roman"/>
          <w:lang w:val="zh-TW" w:eastAsia="zh-CN"/>
        </w:rPr>
        <w:t>，</w:t>
      </w:r>
      <w:r>
        <w:rPr>
          <w:rFonts w:hint="default" w:ascii="Times New Roman" w:hAnsi="Times New Roman" w:eastAsia="宋体"/>
          <w:lang w:val="zh-TW" w:eastAsia="zh-TW"/>
        </w:rPr>
        <w:t>堆放时应离地离墙。</w:t>
      </w:r>
    </w:p>
    <w:p w14:paraId="013C004F">
      <w:pPr>
        <w:pStyle w:val="19"/>
        <w:spacing w:before="120" w:beforeLines="50"/>
        <w:ind w:firstLine="420"/>
        <w:rPr>
          <w:rFonts w:hint="default" w:ascii="Times New Roman" w:hAnsi="Times New Roman" w:eastAsia="宋体"/>
          <w:lang w:val="zh-TW" w:eastAsia="zh-TW"/>
        </w:rPr>
      </w:pPr>
    </w:p>
    <w:p w14:paraId="4ABFB979">
      <w:pPr>
        <w:pStyle w:val="19"/>
        <w:spacing w:before="120" w:beforeLines="50"/>
        <w:ind w:firstLine="420"/>
        <w:rPr>
          <w:rFonts w:hint="default" w:ascii="Times New Roman" w:hAnsi="Times New Roman" w:eastAsia="宋体"/>
          <w:lang w:val="zh-TW" w:eastAsia="zh-TW"/>
        </w:rPr>
      </w:pPr>
    </w:p>
    <w:p w14:paraId="3B5FDD9D">
      <w:pPr>
        <w:pStyle w:val="19"/>
        <w:spacing w:before="120" w:beforeLines="50"/>
        <w:ind w:firstLine="0" w:firstLineChars="0"/>
        <w:rPr>
          <w:rFonts w:hint="default" w:ascii="Times New Roman" w:hAnsi="Times New Roman" w:eastAsia="宋体"/>
          <w:lang w:val="zh-TW" w:eastAsia="zh-TW"/>
        </w:rPr>
      </w:pPr>
      <w:r>
        <w:rPr>
          <w:rFonts w:hint="default" w:ascii="Times New Roman" w:hAnsi="Times New Roman" w:eastAsia="宋体"/>
          <w:lang w:val="zh-TW" w:eastAsia="zh-TW"/>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142240</wp:posOffset>
                </wp:positionV>
                <wp:extent cx="2374900" cy="6350"/>
                <wp:effectExtent l="0" t="0" r="25400" b="31750"/>
                <wp:wrapNone/>
                <wp:docPr id="1" name="直接连接符 1"/>
                <wp:cNvGraphicFramePr/>
                <a:graphic xmlns:a="http://schemas.openxmlformats.org/drawingml/2006/main">
                  <a:graphicData uri="http://schemas.microsoft.com/office/word/2010/wordprocessingShape">
                    <wps:wsp>
                      <wps:cNvCnPr/>
                      <wps:spPr>
                        <a:xfrm>
                          <a:off x="0" y="0"/>
                          <a:ext cx="2374900"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top:11.2pt;height:0.5pt;width:187pt;mso-position-horizontal:center;mso-position-horizontal-relative:margin;z-index:251668480;mso-width-relative:page;mso-height-relative:page;" filled="f" stroked="t" coordsize="21600,21600" o:gfxdata="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gylx7UAAAABgEAAA8AAAAAAAAA&#10;AQAgAAAAIgAAAGRycy9kb3ducmV2LnhtbFBLAQIUABQAAAAIAIdO4kAjncun3AEAAJ0DAAAOAAAA&#10;AAAAAAEAIAAAACMBAABkcnMvZTJvRG9jLnhtbFBLBQYAAAAABgAGAFkBAABxBQAAAAA=&#10;">
                <v:fill on="f" focussize="0,0"/>
                <v:stroke color="#000000 [3213]" joinstyle="round"/>
                <v:imagedata o:title=""/>
                <o:lock v:ext="edit" aspectratio="f"/>
              </v:line>
            </w:pict>
          </mc:Fallback>
        </mc:AlternateContent>
      </w: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AE6FA">
    <w:pPr>
      <w:pStyle w:val="14"/>
      <w:rPr>
        <w:rStyle w:val="10"/>
      </w:rPr>
    </w:pPr>
    <w:r>
      <w:rPr>
        <w:rStyle w:val="10"/>
      </w:rPr>
      <w:fldChar w:fldCharType="begin"/>
    </w:r>
    <w:r>
      <w:rPr>
        <w:rStyle w:val="10"/>
      </w:rPr>
      <w:instrText xml:space="preserve">PAGE  </w:instrText>
    </w:r>
    <w:r>
      <w:rPr>
        <w:rStyle w:val="10"/>
      </w:rPr>
      <w:fldChar w:fldCharType="separate"/>
    </w:r>
    <w:r>
      <w:rPr>
        <w:rStyle w:val="10"/>
      </w:rPr>
      <w:t>8</w:t>
    </w:r>
    <w:r>
      <w:rPr>
        <w:rStyle w:val="1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9507D">
    <w:pPr>
      <w:pStyle w:val="13"/>
      <w:rPr>
        <w:rStyle w:val="10"/>
      </w:rPr>
    </w:pPr>
    <w:r>
      <w:rPr>
        <w:rStyle w:val="10"/>
      </w:rPr>
      <w:fldChar w:fldCharType="begin"/>
    </w:r>
    <w:r>
      <w:rPr>
        <w:rStyle w:val="10"/>
      </w:rPr>
      <w:instrText xml:space="preserve">PAGE  </w:instrText>
    </w:r>
    <w:r>
      <w:rPr>
        <w:rStyle w:val="1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33641">
    <w:pPr>
      <w:pStyle w:val="15"/>
      <w:tabs>
        <w:tab w:val="left" w:pos="709"/>
      </w:tabs>
      <w:jc w:val="left"/>
      <w:rPr>
        <w:rFonts w:hint="default" w:eastAsia="宋体"/>
        <w:lang w:val="en-US" w:eastAsia="zh-CN"/>
      </w:rPr>
    </w:pPr>
    <w:r>
      <w:rPr>
        <w:sz w:val="18"/>
      </w:rPr>
      <w:pict>
        <v:shape id="PowerPlusWaterMarkObject19717" o:spid="_x0000_s2052" o:spt="136" type="#_x0000_t136" style="position:absolute;left:0pt;height:85.7pt;width:501.5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CIFST征求意见稿" style="font-family:微软雅黑;font-size:36pt;v-same-letter-heights:f;v-text-align:center;"/>
        </v:shape>
      </w:pict>
    </w:r>
    <w:r>
      <w:rPr>
        <w:rFonts w:hint="eastAsia"/>
      </w:rPr>
      <w:t>T/</w:t>
    </w:r>
    <w:r>
      <w:t>CIFST</w:t>
    </w:r>
    <w:r>
      <w:rPr>
        <w:rFonts w:hint="eastAsia"/>
      </w:rPr>
      <w:t xml:space="preserve"> XXX-20</w:t>
    </w:r>
    <w:r>
      <w:rPr>
        <w:rFonts w:hint="eastAsia"/>
        <w:lang w:val="en-US" w:eastAsia="zh-CN"/>
      </w:rPr>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BE099">
    <w:pPr>
      <w:pStyle w:val="16"/>
      <w:jc w:val="right"/>
      <w:rPr>
        <w:rFonts w:ascii="宋体" w:hAnsi="宋体"/>
      </w:rPr>
    </w:pPr>
    <w:r>
      <w:rPr>
        <w:sz w:val="18"/>
      </w:rPr>
      <w:pict>
        <v:shape id="_x0000_s2053" o:spid="_x0000_s2053" o:spt="136" type="#_x0000_t136" style="position:absolute;left:0pt;height:85.7pt;width:501.55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IFST征求意见稿" style="font-family:微软雅黑;font-size:36pt;v-same-letter-heights:f;v-text-align:center;"/>
        </v:shape>
      </w:pict>
    </w:r>
    <w:r>
      <w:rPr>
        <w:rFonts w:hint="eastAsia"/>
      </w:rPr>
      <w:t>T/</w:t>
    </w:r>
    <w:r>
      <w:t>CIFST</w:t>
    </w:r>
    <w:r>
      <w:rPr>
        <w:rFonts w:hint="eastAsia"/>
      </w:rPr>
      <w:t xml:space="preserve"> XXX-20</w:t>
    </w:r>
    <w:r>
      <w:rPr>
        <w:rFonts w:hint="eastAsia"/>
        <w:lang w:val="en-US" w:eastAsia="zh-CN"/>
      </w:rPr>
      <w:t>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431A2">
    <w:pPr>
      <w:pStyle w:val="17"/>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18"/>
      <w:suff w:val="nothing"/>
      <w:lvlText w:val="%1"/>
      <w:lvlJc w:val="left"/>
      <w:pPr>
        <w:ind w:left="0" w:firstLine="0"/>
      </w:pPr>
      <w:rPr>
        <w:rFonts w:hint="default" w:ascii="Times New Roman" w:hAnsi="Times New Roman"/>
        <w:b/>
        <w:i w:val="0"/>
        <w:sz w:val="21"/>
      </w:rPr>
    </w:lvl>
    <w:lvl w:ilvl="1" w:tentative="0">
      <w:start w:val="1"/>
      <w:numFmt w:val="decimal"/>
      <w:pStyle w:val="20"/>
      <w:suff w:val="nothing"/>
      <w:lvlText w:val="%1%2　"/>
      <w:lvlJc w:val="left"/>
      <w:pPr>
        <w:ind w:left="105" w:firstLine="0"/>
      </w:pPr>
      <w:rPr>
        <w:rFonts w:hint="eastAsia" w:ascii="黑体" w:hAnsi="Times New Roman" w:eastAsia="黑体"/>
        <w:b w:val="0"/>
        <w:i w:val="0"/>
        <w:sz w:val="21"/>
      </w:rPr>
    </w:lvl>
    <w:lvl w:ilvl="2" w:tentative="0">
      <w:start w:val="1"/>
      <w:numFmt w:val="decimal"/>
      <w:pStyle w:val="21"/>
      <w:suff w:val="nothing"/>
      <w:lvlText w:val="%1%2.%3　"/>
      <w:lvlJc w:val="left"/>
      <w:pPr>
        <w:ind w:left="210" w:firstLine="0"/>
      </w:pPr>
      <w:rPr>
        <w:rFonts w:hint="eastAsia" w:ascii="黑体" w:hAnsi="Times New Roman" w:eastAsia="黑体"/>
        <w:b w:val="0"/>
        <w:i w:val="0"/>
        <w:sz w:val="21"/>
      </w:rPr>
    </w:lvl>
    <w:lvl w:ilvl="3" w:tentative="0">
      <w:start w:val="1"/>
      <w:numFmt w:val="decimal"/>
      <w:pStyle w:val="22"/>
      <w:suff w:val="nothing"/>
      <w:lvlText w:val="%1%2.%3.%4　"/>
      <w:lvlJc w:val="left"/>
      <w:pPr>
        <w:ind w:left="426" w:firstLine="0"/>
      </w:pPr>
      <w:rPr>
        <w:rFonts w:hint="eastAsia" w:ascii="黑体" w:hAnsi="Times New Roman" w:eastAsia="黑体"/>
        <w:b w:val="0"/>
        <w:i w:val="0"/>
        <w:sz w:val="21"/>
      </w:rPr>
    </w:lvl>
    <w:lvl w:ilvl="4" w:tentative="0">
      <w:start w:val="1"/>
      <w:numFmt w:val="decimal"/>
      <w:pStyle w:val="32"/>
      <w:suff w:val="nothing"/>
      <w:lvlText w:val="%1%2.%3.%4.%5　"/>
      <w:lvlJc w:val="left"/>
      <w:pPr>
        <w:ind w:left="0" w:firstLine="0"/>
      </w:pPr>
      <w:rPr>
        <w:rFonts w:hint="eastAsia" w:ascii="黑体" w:hAnsi="Times New Roman" w:eastAsia="黑体"/>
        <w:b w:val="0"/>
        <w:i w:val="0"/>
        <w:sz w:val="21"/>
      </w:rPr>
    </w:lvl>
    <w:lvl w:ilvl="5" w:tentative="0">
      <w:start w:val="1"/>
      <w:numFmt w:val="decimal"/>
      <w:pStyle w:val="34"/>
      <w:suff w:val="nothing"/>
      <w:lvlText w:val="%1%2.%3.%4.%5.%6　"/>
      <w:lvlJc w:val="left"/>
      <w:pPr>
        <w:ind w:left="0" w:firstLine="0"/>
      </w:pPr>
      <w:rPr>
        <w:rFonts w:hint="eastAsia" w:ascii="黑体" w:hAnsi="Times New Roman" w:eastAsia="黑体"/>
        <w:b w:val="0"/>
        <w:i w:val="0"/>
        <w:sz w:val="21"/>
      </w:rPr>
    </w:lvl>
    <w:lvl w:ilvl="6" w:tentative="0">
      <w:start w:val="1"/>
      <w:numFmt w:val="decimal"/>
      <w:pStyle w:val="3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EF7"/>
    <w:rsid w:val="00011ADC"/>
    <w:rsid w:val="00014414"/>
    <w:rsid w:val="00030DC1"/>
    <w:rsid w:val="00032961"/>
    <w:rsid w:val="00044326"/>
    <w:rsid w:val="00047F2B"/>
    <w:rsid w:val="0005523E"/>
    <w:rsid w:val="0006761C"/>
    <w:rsid w:val="000A0D13"/>
    <w:rsid w:val="000B296A"/>
    <w:rsid w:val="000B4293"/>
    <w:rsid w:val="000B6F51"/>
    <w:rsid w:val="000C6081"/>
    <w:rsid w:val="000D2B73"/>
    <w:rsid w:val="001252B2"/>
    <w:rsid w:val="001364AF"/>
    <w:rsid w:val="00140413"/>
    <w:rsid w:val="001413A9"/>
    <w:rsid w:val="00141C70"/>
    <w:rsid w:val="00145104"/>
    <w:rsid w:val="00151351"/>
    <w:rsid w:val="001830EA"/>
    <w:rsid w:val="00187B55"/>
    <w:rsid w:val="001A5C58"/>
    <w:rsid w:val="001E0718"/>
    <w:rsid w:val="001E503B"/>
    <w:rsid w:val="00217F1E"/>
    <w:rsid w:val="00235E17"/>
    <w:rsid w:val="00244635"/>
    <w:rsid w:val="00254416"/>
    <w:rsid w:val="00260B5F"/>
    <w:rsid w:val="00262966"/>
    <w:rsid w:val="00262FB7"/>
    <w:rsid w:val="00274D26"/>
    <w:rsid w:val="002959C8"/>
    <w:rsid w:val="00296F48"/>
    <w:rsid w:val="002A7081"/>
    <w:rsid w:val="002B0CCC"/>
    <w:rsid w:val="002B1605"/>
    <w:rsid w:val="002B5C4F"/>
    <w:rsid w:val="002E17A0"/>
    <w:rsid w:val="002F04E3"/>
    <w:rsid w:val="002F5CDA"/>
    <w:rsid w:val="00340B34"/>
    <w:rsid w:val="00360AEC"/>
    <w:rsid w:val="003E4349"/>
    <w:rsid w:val="003F3C65"/>
    <w:rsid w:val="003F6E04"/>
    <w:rsid w:val="004026B6"/>
    <w:rsid w:val="00412D4F"/>
    <w:rsid w:val="00413AB9"/>
    <w:rsid w:val="00425185"/>
    <w:rsid w:val="0043369F"/>
    <w:rsid w:val="004637A8"/>
    <w:rsid w:val="004837B1"/>
    <w:rsid w:val="004926E4"/>
    <w:rsid w:val="0049658C"/>
    <w:rsid w:val="004D1565"/>
    <w:rsid w:val="004D6F18"/>
    <w:rsid w:val="004F18CF"/>
    <w:rsid w:val="00501136"/>
    <w:rsid w:val="00524847"/>
    <w:rsid w:val="00551237"/>
    <w:rsid w:val="00560FC9"/>
    <w:rsid w:val="005715A9"/>
    <w:rsid w:val="00572483"/>
    <w:rsid w:val="005865CF"/>
    <w:rsid w:val="005D1289"/>
    <w:rsid w:val="005F729C"/>
    <w:rsid w:val="0061298E"/>
    <w:rsid w:val="00622CEB"/>
    <w:rsid w:val="00640642"/>
    <w:rsid w:val="00642F15"/>
    <w:rsid w:val="00652803"/>
    <w:rsid w:val="00680E88"/>
    <w:rsid w:val="006B2836"/>
    <w:rsid w:val="006B51AE"/>
    <w:rsid w:val="006C36B0"/>
    <w:rsid w:val="006D3284"/>
    <w:rsid w:val="006D383C"/>
    <w:rsid w:val="006F77B7"/>
    <w:rsid w:val="007131A9"/>
    <w:rsid w:val="00714407"/>
    <w:rsid w:val="007261BF"/>
    <w:rsid w:val="00734590"/>
    <w:rsid w:val="00734919"/>
    <w:rsid w:val="007462DD"/>
    <w:rsid w:val="00755787"/>
    <w:rsid w:val="0076280E"/>
    <w:rsid w:val="00772553"/>
    <w:rsid w:val="00774A8E"/>
    <w:rsid w:val="007A17AD"/>
    <w:rsid w:val="007A4BFD"/>
    <w:rsid w:val="007B54AB"/>
    <w:rsid w:val="007D4FCF"/>
    <w:rsid w:val="007F47B8"/>
    <w:rsid w:val="008048B5"/>
    <w:rsid w:val="00811698"/>
    <w:rsid w:val="008273EA"/>
    <w:rsid w:val="00842244"/>
    <w:rsid w:val="00847487"/>
    <w:rsid w:val="00865DC9"/>
    <w:rsid w:val="008A4EF7"/>
    <w:rsid w:val="008B5B8D"/>
    <w:rsid w:val="008B70DE"/>
    <w:rsid w:val="008B7CE3"/>
    <w:rsid w:val="008D5282"/>
    <w:rsid w:val="008E0BF1"/>
    <w:rsid w:val="008E4ECE"/>
    <w:rsid w:val="008F1537"/>
    <w:rsid w:val="00904D44"/>
    <w:rsid w:val="00920E79"/>
    <w:rsid w:val="009279AD"/>
    <w:rsid w:val="00936299"/>
    <w:rsid w:val="00940CA1"/>
    <w:rsid w:val="00941498"/>
    <w:rsid w:val="00945F88"/>
    <w:rsid w:val="009534AC"/>
    <w:rsid w:val="0097104E"/>
    <w:rsid w:val="00976B78"/>
    <w:rsid w:val="009C33B5"/>
    <w:rsid w:val="009C66C6"/>
    <w:rsid w:val="009C7CD8"/>
    <w:rsid w:val="009D1032"/>
    <w:rsid w:val="009E16D8"/>
    <w:rsid w:val="00A13E88"/>
    <w:rsid w:val="00A15C01"/>
    <w:rsid w:val="00A631DD"/>
    <w:rsid w:val="00A8208C"/>
    <w:rsid w:val="00A83528"/>
    <w:rsid w:val="00A86098"/>
    <w:rsid w:val="00A92EF7"/>
    <w:rsid w:val="00A930B0"/>
    <w:rsid w:val="00A9438B"/>
    <w:rsid w:val="00AA2A1B"/>
    <w:rsid w:val="00AB193F"/>
    <w:rsid w:val="00AE423E"/>
    <w:rsid w:val="00AE69E5"/>
    <w:rsid w:val="00B15300"/>
    <w:rsid w:val="00B171C3"/>
    <w:rsid w:val="00B26546"/>
    <w:rsid w:val="00B3071E"/>
    <w:rsid w:val="00B322CA"/>
    <w:rsid w:val="00B4251F"/>
    <w:rsid w:val="00B70265"/>
    <w:rsid w:val="00BA712C"/>
    <w:rsid w:val="00BA7EAC"/>
    <w:rsid w:val="00BB7B9F"/>
    <w:rsid w:val="00BD2FAD"/>
    <w:rsid w:val="00BD6407"/>
    <w:rsid w:val="00BE2442"/>
    <w:rsid w:val="00BF05BB"/>
    <w:rsid w:val="00BF1323"/>
    <w:rsid w:val="00BF5306"/>
    <w:rsid w:val="00BF55BD"/>
    <w:rsid w:val="00BF7DEB"/>
    <w:rsid w:val="00C31E86"/>
    <w:rsid w:val="00C36E92"/>
    <w:rsid w:val="00C42694"/>
    <w:rsid w:val="00C44D10"/>
    <w:rsid w:val="00C51711"/>
    <w:rsid w:val="00C64847"/>
    <w:rsid w:val="00C72373"/>
    <w:rsid w:val="00C760E3"/>
    <w:rsid w:val="00C763D3"/>
    <w:rsid w:val="00C81CA8"/>
    <w:rsid w:val="00CA59C4"/>
    <w:rsid w:val="00CE2F45"/>
    <w:rsid w:val="00CE7416"/>
    <w:rsid w:val="00D04ED6"/>
    <w:rsid w:val="00D274F3"/>
    <w:rsid w:val="00D416BD"/>
    <w:rsid w:val="00D62E7D"/>
    <w:rsid w:val="00D67B15"/>
    <w:rsid w:val="00D71C3E"/>
    <w:rsid w:val="00D90335"/>
    <w:rsid w:val="00DA21E0"/>
    <w:rsid w:val="00DB55B7"/>
    <w:rsid w:val="00DC1699"/>
    <w:rsid w:val="00DD2A2D"/>
    <w:rsid w:val="00DD32D8"/>
    <w:rsid w:val="00DD53BE"/>
    <w:rsid w:val="00DE389F"/>
    <w:rsid w:val="00DE41CC"/>
    <w:rsid w:val="00DE558E"/>
    <w:rsid w:val="00DE62BF"/>
    <w:rsid w:val="00DF7403"/>
    <w:rsid w:val="00E2612A"/>
    <w:rsid w:val="00E26C9A"/>
    <w:rsid w:val="00E5566D"/>
    <w:rsid w:val="00E75654"/>
    <w:rsid w:val="00EA6B4A"/>
    <w:rsid w:val="00EB61E9"/>
    <w:rsid w:val="00EF2383"/>
    <w:rsid w:val="00EF52ED"/>
    <w:rsid w:val="00F21C06"/>
    <w:rsid w:val="00F25C04"/>
    <w:rsid w:val="00F316B4"/>
    <w:rsid w:val="00F32DE7"/>
    <w:rsid w:val="00F968EB"/>
    <w:rsid w:val="00FA39B9"/>
    <w:rsid w:val="00FA40EF"/>
    <w:rsid w:val="00FB7EB6"/>
    <w:rsid w:val="00FD0E10"/>
    <w:rsid w:val="00FE17AA"/>
    <w:rsid w:val="00FE6F49"/>
    <w:rsid w:val="00FF3A86"/>
    <w:rsid w:val="00FF4D76"/>
    <w:rsid w:val="017A1F07"/>
    <w:rsid w:val="027E48E2"/>
    <w:rsid w:val="03C856E3"/>
    <w:rsid w:val="07B21736"/>
    <w:rsid w:val="08892741"/>
    <w:rsid w:val="0A6142C9"/>
    <w:rsid w:val="0AE63173"/>
    <w:rsid w:val="0D9160B3"/>
    <w:rsid w:val="0E0D5C83"/>
    <w:rsid w:val="0F36063C"/>
    <w:rsid w:val="14766554"/>
    <w:rsid w:val="162F3D08"/>
    <w:rsid w:val="16507791"/>
    <w:rsid w:val="1DE9001F"/>
    <w:rsid w:val="2320513B"/>
    <w:rsid w:val="23271E72"/>
    <w:rsid w:val="25E540E1"/>
    <w:rsid w:val="2811047F"/>
    <w:rsid w:val="29A86F1A"/>
    <w:rsid w:val="2BA84687"/>
    <w:rsid w:val="2F2A716A"/>
    <w:rsid w:val="31E51DAC"/>
    <w:rsid w:val="32A503B3"/>
    <w:rsid w:val="37550B05"/>
    <w:rsid w:val="3BE4286D"/>
    <w:rsid w:val="3F236691"/>
    <w:rsid w:val="40D3746E"/>
    <w:rsid w:val="43882D11"/>
    <w:rsid w:val="477D208C"/>
    <w:rsid w:val="48E52BF8"/>
    <w:rsid w:val="4AB641A4"/>
    <w:rsid w:val="4F95539A"/>
    <w:rsid w:val="50D653CF"/>
    <w:rsid w:val="52DC38DC"/>
    <w:rsid w:val="5398432F"/>
    <w:rsid w:val="5B16253D"/>
    <w:rsid w:val="5C7607EF"/>
    <w:rsid w:val="5D35510E"/>
    <w:rsid w:val="5F62494E"/>
    <w:rsid w:val="60A86B9D"/>
    <w:rsid w:val="641A0EC0"/>
    <w:rsid w:val="66BB4EBD"/>
    <w:rsid w:val="6C977838"/>
    <w:rsid w:val="6F7918C2"/>
    <w:rsid w:val="70071AEE"/>
    <w:rsid w:val="711F28A9"/>
    <w:rsid w:val="71D00924"/>
    <w:rsid w:val="74BE3FA5"/>
    <w:rsid w:val="74CA4688"/>
    <w:rsid w:val="74D5496A"/>
    <w:rsid w:val="75C04C9B"/>
    <w:rsid w:val="76A70752"/>
    <w:rsid w:val="784E3EB6"/>
    <w:rsid w:val="78DF7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41"/>
    <w:unhideWhenUsed/>
    <w:qFormat/>
    <w:uiPriority w:val="99"/>
    <w:pPr>
      <w:jc w:val="left"/>
    </w:pPr>
  </w:style>
  <w:style w:type="paragraph" w:styleId="3">
    <w:name w:val="Balloon Text"/>
    <w:basedOn w:val="1"/>
    <w:link w:val="43"/>
    <w:semiHidden/>
    <w:unhideWhenUsed/>
    <w:qFormat/>
    <w:uiPriority w:val="99"/>
    <w:rPr>
      <w:sz w:val="18"/>
      <w:szCs w:val="18"/>
    </w:rPr>
  </w:style>
  <w:style w:type="paragraph" w:styleId="4">
    <w:name w:val="footer"/>
    <w:basedOn w:val="1"/>
    <w:link w:val="36"/>
    <w:qFormat/>
    <w:uiPriority w:val="0"/>
    <w:pPr>
      <w:tabs>
        <w:tab w:val="center" w:pos="4153"/>
        <w:tab w:val="right" w:pos="8306"/>
      </w:tabs>
      <w:snapToGrid w:val="0"/>
      <w:ind w:right="210" w:rightChars="100"/>
      <w:jc w:val="right"/>
    </w:pPr>
    <w:rPr>
      <w:sz w:val="18"/>
      <w:szCs w:val="18"/>
    </w:rPr>
  </w:style>
  <w:style w:type="paragraph" w:styleId="5">
    <w:name w:val="Subtitle"/>
    <w:next w:val="1"/>
    <w:link w:val="40"/>
    <w:autoRedefine/>
    <w:qFormat/>
    <w:uiPriority w:val="11"/>
    <w:pPr>
      <w:spacing w:after="170"/>
    </w:pPr>
    <w:rPr>
      <w:rFonts w:ascii="Arial" w:hAnsi="Arial" w:eastAsiaTheme="majorEastAsia" w:cstheme="majorBidi"/>
      <w:b/>
      <w:iCs/>
      <w:sz w:val="28"/>
      <w:szCs w:val="24"/>
      <w:lang w:val="en-GB" w:eastAsia="en-US" w:bidi="ar-SA"/>
    </w:rPr>
  </w:style>
  <w:style w:type="paragraph" w:styleId="6">
    <w:name w:val="annotation subject"/>
    <w:basedOn w:val="2"/>
    <w:next w:val="2"/>
    <w:link w:val="42"/>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rPr>
      <w:rFonts w:ascii="Times New Roman" w:hAnsi="Times New Roman" w:eastAsia="宋体"/>
      <w:sz w:val="18"/>
    </w:rPr>
  </w:style>
  <w:style w:type="character" w:styleId="11">
    <w:name w:val="annotation reference"/>
    <w:basedOn w:val="9"/>
    <w:semiHidden/>
    <w:unhideWhenUsed/>
    <w:qFormat/>
    <w:uiPriority w:val="99"/>
    <w:rPr>
      <w:sz w:val="21"/>
      <w:szCs w:val="21"/>
    </w:rPr>
  </w:style>
  <w:style w:type="paragraph" w:customStyle="1" w:styleId="1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4">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5">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6">
    <w:name w:val="标准书眉_偶数页"/>
    <w:basedOn w:val="15"/>
    <w:next w:val="1"/>
    <w:qFormat/>
    <w:uiPriority w:val="0"/>
    <w:pPr>
      <w:jc w:val="left"/>
    </w:pPr>
  </w:style>
  <w:style w:type="paragraph" w:customStyle="1" w:styleId="17">
    <w:name w:val="标准书眉一"/>
    <w:qFormat/>
    <w:uiPriority w:val="0"/>
    <w:pPr>
      <w:jc w:val="both"/>
    </w:pPr>
    <w:rPr>
      <w:rFonts w:ascii="Times New Roman" w:hAnsi="Times New Roman" w:eastAsia="宋体" w:cs="Times New Roman"/>
      <w:lang w:val="en-US" w:eastAsia="zh-CN" w:bidi="ar-SA"/>
    </w:rPr>
  </w:style>
  <w:style w:type="paragraph" w:customStyle="1" w:styleId="18">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9">
    <w:name w:val="段"/>
    <w:link w:val="3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章标题"/>
    <w:next w:val="19"/>
    <w:qFormat/>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21">
    <w:name w:val="一级条标题"/>
    <w:basedOn w:val="20"/>
    <w:next w:val="19"/>
    <w:qFormat/>
    <w:uiPriority w:val="0"/>
    <w:pPr>
      <w:numPr>
        <w:ilvl w:val="2"/>
      </w:numPr>
      <w:spacing w:before="0" w:beforeLines="0" w:after="0" w:afterLines="0"/>
      <w:outlineLvl w:val="2"/>
    </w:pPr>
  </w:style>
  <w:style w:type="paragraph" w:customStyle="1" w:styleId="22">
    <w:name w:val="二级条标题"/>
    <w:basedOn w:val="21"/>
    <w:next w:val="19"/>
    <w:qFormat/>
    <w:uiPriority w:val="0"/>
    <w:pPr>
      <w:numPr>
        <w:ilvl w:val="3"/>
      </w:numPr>
      <w:outlineLvl w:val="3"/>
    </w:pPr>
  </w:style>
  <w:style w:type="paragraph" w:customStyle="1" w:styleId="23">
    <w:name w:val="发布部门"/>
    <w:next w:val="19"/>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25">
    <w:name w:val="封面标准代替信息"/>
    <w:basedOn w:val="1"/>
    <w:qFormat/>
    <w:uiPriority w:val="0"/>
    <w:pPr>
      <w:framePr w:w="9138" w:h="1244" w:hRule="exact" w:wrap="around" w:vAnchor="page" w:hAnchor="margin" w:y="2908" w:anchorLock="1"/>
      <w:kinsoku w:val="0"/>
      <w:overflowPunct w:val="0"/>
      <w:autoSpaceDE w:val="0"/>
      <w:autoSpaceDN w:val="0"/>
      <w:adjustRightInd w:val="0"/>
      <w:spacing w:before="57" w:line="280" w:lineRule="exact"/>
      <w:jc w:val="right"/>
      <w:textAlignment w:val="center"/>
    </w:pPr>
    <w:rPr>
      <w:rFonts w:ascii="宋体"/>
      <w:kern w:val="0"/>
      <w:szCs w:val="20"/>
    </w:rPr>
  </w:style>
  <w:style w:type="paragraph" w:customStyle="1" w:styleId="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30">
    <w:name w:val="封面正文"/>
    <w:qFormat/>
    <w:uiPriority w:val="0"/>
    <w:pPr>
      <w:jc w:val="both"/>
    </w:pPr>
    <w:rPr>
      <w:rFonts w:ascii="Times New Roman" w:hAnsi="Times New Roman" w:eastAsia="宋体" w:cs="Times New Roman"/>
      <w:lang w:val="en-US" w:eastAsia="zh-CN" w:bidi="ar-SA"/>
    </w:rPr>
  </w:style>
  <w:style w:type="paragraph" w:customStyle="1" w:styleId="31">
    <w:name w:val="目次、标准名称标题"/>
    <w:basedOn w:val="18"/>
    <w:next w:val="19"/>
    <w:qFormat/>
    <w:uiPriority w:val="0"/>
    <w:pPr>
      <w:numPr>
        <w:numId w:val="0"/>
      </w:numPr>
      <w:spacing w:line="460" w:lineRule="exact"/>
    </w:pPr>
  </w:style>
  <w:style w:type="paragraph" w:customStyle="1" w:styleId="32">
    <w:name w:val="三级条标题"/>
    <w:basedOn w:val="22"/>
    <w:next w:val="19"/>
    <w:qFormat/>
    <w:uiPriority w:val="0"/>
    <w:pPr>
      <w:numPr>
        <w:ilvl w:val="4"/>
      </w:numPr>
      <w:outlineLvl w:val="4"/>
    </w:pPr>
  </w:style>
  <w:style w:type="paragraph" w:customStyle="1" w:styleId="33">
    <w:name w:val="实施日期"/>
    <w:basedOn w:val="24"/>
    <w:qFormat/>
    <w:uiPriority w:val="0"/>
    <w:pPr>
      <w:framePr w:hSpace="0" w:wrap="around" w:xAlign="right"/>
      <w:jc w:val="right"/>
    </w:pPr>
  </w:style>
  <w:style w:type="paragraph" w:customStyle="1" w:styleId="34">
    <w:name w:val="四级条标题"/>
    <w:basedOn w:val="32"/>
    <w:next w:val="19"/>
    <w:qFormat/>
    <w:uiPriority w:val="0"/>
    <w:pPr>
      <w:numPr>
        <w:ilvl w:val="5"/>
      </w:numPr>
      <w:outlineLvl w:val="5"/>
    </w:pPr>
  </w:style>
  <w:style w:type="paragraph" w:customStyle="1" w:styleId="35">
    <w:name w:val="五级条标题"/>
    <w:basedOn w:val="34"/>
    <w:next w:val="19"/>
    <w:qFormat/>
    <w:uiPriority w:val="0"/>
    <w:pPr>
      <w:numPr>
        <w:ilvl w:val="6"/>
      </w:numPr>
      <w:outlineLvl w:val="6"/>
    </w:pPr>
  </w:style>
  <w:style w:type="character" w:customStyle="1" w:styleId="36">
    <w:name w:val="页脚 字符"/>
    <w:basedOn w:val="9"/>
    <w:link w:val="4"/>
    <w:qFormat/>
    <w:uiPriority w:val="0"/>
    <w:rPr>
      <w:rFonts w:ascii="Times New Roman" w:hAnsi="Times New Roman" w:eastAsia="宋体" w:cs="Times New Roman"/>
      <w:sz w:val="18"/>
      <w:szCs w:val="18"/>
    </w:rPr>
  </w:style>
  <w:style w:type="paragraph" w:customStyle="1" w:styleId="37">
    <w:name w:val="Char"/>
    <w:basedOn w:val="1"/>
    <w:qFormat/>
    <w:uiPriority w:val="0"/>
    <w:pPr>
      <w:widowControl/>
      <w:spacing w:after="160" w:line="240" w:lineRule="exact"/>
      <w:jc w:val="left"/>
    </w:pPr>
    <w:rPr>
      <w:rFonts w:ascii="黑体" w:hAnsi="黑体" w:eastAsia="黑体"/>
      <w:kern w:val="0"/>
      <w:szCs w:val="21"/>
    </w:rPr>
  </w:style>
  <w:style w:type="paragraph" w:customStyle="1" w:styleId="38">
    <w:name w:val="List Paragraph1"/>
    <w:basedOn w:val="1"/>
    <w:qFormat/>
    <w:uiPriority w:val="34"/>
    <w:pPr>
      <w:ind w:left="720"/>
    </w:pPr>
  </w:style>
  <w:style w:type="character" w:customStyle="1" w:styleId="39">
    <w:name w:val="段 Char"/>
    <w:link w:val="19"/>
    <w:qFormat/>
    <w:uiPriority w:val="0"/>
    <w:rPr>
      <w:rFonts w:ascii="宋体" w:hAnsi="Times New Roman" w:eastAsia="宋体" w:cs="Times New Roman"/>
      <w:kern w:val="0"/>
      <w:szCs w:val="20"/>
    </w:rPr>
  </w:style>
  <w:style w:type="character" w:customStyle="1" w:styleId="40">
    <w:name w:val="副标题 字符"/>
    <w:basedOn w:val="9"/>
    <w:link w:val="5"/>
    <w:qFormat/>
    <w:uiPriority w:val="11"/>
    <w:rPr>
      <w:rFonts w:ascii="Arial" w:hAnsi="Arial" w:eastAsiaTheme="majorEastAsia" w:cstheme="majorBidi"/>
      <w:b/>
      <w:iCs/>
      <w:sz w:val="28"/>
      <w:szCs w:val="24"/>
      <w:lang w:val="en-GB" w:eastAsia="en-US"/>
    </w:rPr>
  </w:style>
  <w:style w:type="character" w:customStyle="1" w:styleId="41">
    <w:name w:val="批注文字 字符"/>
    <w:basedOn w:val="9"/>
    <w:link w:val="2"/>
    <w:qFormat/>
    <w:uiPriority w:val="99"/>
    <w:rPr>
      <w:kern w:val="2"/>
      <w:sz w:val="21"/>
      <w:szCs w:val="24"/>
    </w:rPr>
  </w:style>
  <w:style w:type="character" w:customStyle="1" w:styleId="42">
    <w:name w:val="批注主题 字符"/>
    <w:basedOn w:val="41"/>
    <w:link w:val="6"/>
    <w:semiHidden/>
    <w:qFormat/>
    <w:uiPriority w:val="99"/>
    <w:rPr>
      <w:b/>
      <w:bCs/>
      <w:kern w:val="2"/>
      <w:sz w:val="21"/>
      <w:szCs w:val="24"/>
    </w:rPr>
  </w:style>
  <w:style w:type="character" w:customStyle="1" w:styleId="43">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3550</Words>
  <Characters>4629</Characters>
  <Lines>49</Lines>
  <Paragraphs>13</Paragraphs>
  <TotalTime>2</TotalTime>
  <ScaleCrop>false</ScaleCrop>
  <LinksUpToDate>false</LinksUpToDate>
  <CharactersWithSpaces>5032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2020-02-11T04:11:00Z</dcterms:created>
  <dc:creator>Yu, Hugo</dc:creator>
  <cp:lastModifiedBy>修改意见</cp:lastModifiedBy>
  <dcterms:modified xsi:type="dcterms:W3CDTF">2025-08-06T07:29:44Z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commondata">
    <vt:lpwstr>eyJoZGlkIjoiODViY2JkMjU3NGYzZTEwMzZmMGFkZWViYmNkYWU3NDIifQ==</vt:lpwstr>
  </property>
  <property fmtid="{D5CDD505-2E9C-101B-9397-08002B2CF9AE}" pid="4" name="ICV">
    <vt:lpwstr>72FC401A36AF4321A2FD5A73B9665FB5_13</vt:lpwstr>
  </property>
  <property fmtid="{D5CDD505-2E9C-101B-9397-08002B2CF9AE}" pid="5" name="KSOTemplateDocerSaveRecord">
    <vt:lpwstr>eyJoZGlkIjoiMmE3MjZlYjlmOGMyYzA1Mzk4MjQwNTUwMTJjMWRhMDgiLCJ1c2VySWQiOiIzMzE2NzY0MjMifQ==</vt:lpwstr>
  </property>
</Properties>
</file>